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F25F2" w14:textId="77777777" w:rsidR="004E7F4A" w:rsidRPr="00BD5BAF" w:rsidRDefault="004E7F4A" w:rsidP="004E7F4A">
      <w:pPr>
        <w:rPr>
          <w:rFonts w:ascii="Times New Roman" w:hAnsi="Times New Roman" w:cs="Times New Roman"/>
          <w:sz w:val="22"/>
          <w:szCs w:val="22"/>
        </w:rPr>
      </w:pPr>
      <w:r w:rsidRPr="00BD5BAF">
        <w:rPr>
          <w:rFonts w:ascii="Times New Roman" w:hAnsi="Times New Roman" w:cs="Times New Roman"/>
          <w:noProof/>
          <w:sz w:val="22"/>
          <w:szCs w:val="22"/>
        </w:rPr>
        <w:drawing>
          <wp:anchor distT="0" distB="0" distL="114300" distR="114300" simplePos="0" relativeHeight="251658240" behindDoc="1" locked="0" layoutInCell="1" allowOverlap="1" wp14:anchorId="21D6ABBE" wp14:editId="43875BC2">
            <wp:simplePos x="0" y="0"/>
            <wp:positionH relativeFrom="page">
              <wp:align>right</wp:align>
            </wp:positionH>
            <wp:positionV relativeFrom="page">
              <wp:align>top</wp:align>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82770"/>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BAF">
        <w:rPr>
          <w:rFonts w:ascii="Times New Roman" w:hAnsi="Times New Roman" w:cs="Times New Roman"/>
          <w:noProof/>
          <w:sz w:val="22"/>
          <w:szCs w:val="22"/>
        </w:rPr>
        <w:t xml:space="preserve"> </w:t>
      </w:r>
    </w:p>
    <w:p w14:paraId="3A1F9C3E" w14:textId="77777777" w:rsidR="004E7F4A" w:rsidRPr="00BD5BAF" w:rsidRDefault="004E7F4A" w:rsidP="004E7F4A">
      <w:pPr>
        <w:tabs>
          <w:tab w:val="left" w:pos="7622"/>
        </w:tabs>
        <w:rPr>
          <w:rFonts w:ascii="Times New Roman" w:hAnsi="Times New Roman" w:cs="Times New Roman"/>
          <w:sz w:val="22"/>
          <w:szCs w:val="22"/>
        </w:rPr>
      </w:pPr>
      <w:r w:rsidRPr="00BD5BAF">
        <w:rPr>
          <w:rFonts w:ascii="Times New Roman" w:hAnsi="Times New Roman" w:cs="Times New Roman"/>
          <w:noProof/>
          <w:sz w:val="22"/>
          <w:szCs w:val="22"/>
        </w:rPr>
        <mc:AlternateContent>
          <mc:Choice Requires="wps">
            <w:drawing>
              <wp:anchor distT="0" distB="0" distL="114300" distR="114300" simplePos="0" relativeHeight="251658241" behindDoc="0" locked="0" layoutInCell="1" allowOverlap="1" wp14:anchorId="3AD8031C" wp14:editId="0BFC16A7">
                <wp:simplePos x="0" y="0"/>
                <wp:positionH relativeFrom="column">
                  <wp:posOffset>-334645</wp:posOffset>
                </wp:positionH>
                <wp:positionV relativeFrom="paragraph">
                  <wp:posOffset>1168108</wp:posOffset>
                </wp:positionV>
                <wp:extent cx="2049145" cy="441325"/>
                <wp:effectExtent l="0" t="0" r="8255" b="0"/>
                <wp:wrapNone/>
                <wp:docPr id="4" name="Text Box 5">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441325"/>
                        </a:xfrm>
                        <a:prstGeom prst="rect">
                          <a:avLst/>
                        </a:prstGeom>
                        <a:solidFill>
                          <a:schemeClr val="lt1"/>
                        </a:solidFill>
                        <a:ln w="6350">
                          <a:noFill/>
                        </a:ln>
                      </wps:spPr>
                      <wps:txbx>
                        <w:txbxContent>
                          <w:p w14:paraId="78396163" w14:textId="77777777" w:rsidR="004E7F4A" w:rsidRDefault="004E7F4A" w:rsidP="004E7F4A">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4C5A0DC6" w14:textId="77777777" w:rsidR="004E7F4A" w:rsidRDefault="004E7F4A" w:rsidP="004E7F4A">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D8031C" id="_x0000_t202" coordsize="21600,21600" o:spt="202" path="m,l,21600r21600,l21600,xe">
                <v:stroke joinstyle="miter"/>
                <v:path gradientshapeok="t" o:connecttype="rect"/>
              </v:shapetype>
              <v:shape id="Text Box 5" o:spid="_x0000_s1026" type="#_x0000_t202" style="position:absolute;margin-left:-26.35pt;margin-top:92pt;width:161.35pt;height:34.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" fillcolor="white [3201]" stroked="f" strokeweight=".5pt">
                <v:textbox>
                  <w:txbxContent>
                    <w:p w14:paraId="78396163" w14:textId="77777777" w:rsidR="004E7F4A" w:rsidRDefault="004E7F4A" w:rsidP="004E7F4A">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4C5A0DC6" w14:textId="77777777" w:rsidR="004E7F4A" w:rsidRDefault="004E7F4A" w:rsidP="004E7F4A">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v:textbox>
              </v:shape>
            </w:pict>
          </mc:Fallback>
        </mc:AlternateContent>
      </w:r>
    </w:p>
    <w:p w14:paraId="69B9BC81" w14:textId="77777777" w:rsidR="004E7F4A" w:rsidRPr="00BD5BAF" w:rsidRDefault="004E7F4A" w:rsidP="004E7F4A">
      <w:pPr>
        <w:rPr>
          <w:rFonts w:ascii="Times New Roman" w:hAnsi="Times New Roman" w:cs="Times New Roman"/>
          <w:sz w:val="22"/>
          <w:szCs w:val="22"/>
        </w:rPr>
      </w:pPr>
    </w:p>
    <w:p w14:paraId="158193BB" w14:textId="77777777" w:rsidR="004E7F4A" w:rsidRPr="00BD5BAF" w:rsidRDefault="004E7F4A" w:rsidP="004E7F4A">
      <w:pPr>
        <w:rPr>
          <w:rFonts w:ascii="Times New Roman" w:hAnsi="Times New Roman" w:cs="Times New Roman"/>
          <w:sz w:val="22"/>
          <w:szCs w:val="22"/>
        </w:rPr>
      </w:pPr>
      <w:r w:rsidRPr="00BD5BAF">
        <w:rPr>
          <w:rFonts w:ascii="Times New Roman" w:hAnsi="Times New Roman" w:cs="Times New Roman"/>
          <w:b/>
          <w:noProof/>
          <w:sz w:val="22"/>
          <w:szCs w:val="22"/>
        </w:rPr>
        <mc:AlternateContent>
          <mc:Choice Requires="wps">
            <w:drawing>
              <wp:anchor distT="0" distB="0" distL="114300" distR="114300" simplePos="0" relativeHeight="251658243" behindDoc="0" locked="0" layoutInCell="1" allowOverlap="1" wp14:anchorId="60FDB119" wp14:editId="7F800144">
                <wp:simplePos x="0" y="0"/>
                <wp:positionH relativeFrom="column">
                  <wp:posOffset>4853940</wp:posOffset>
                </wp:positionH>
                <wp:positionV relativeFrom="paragraph">
                  <wp:posOffset>104775</wp:posOffset>
                </wp:positionV>
                <wp:extent cx="2326005" cy="342900"/>
                <wp:effectExtent l="0" t="0" r="0" b="0"/>
                <wp:wrapNone/>
                <wp:docPr id="17" name="TextBox 1"/>
                <wp:cNvGraphicFramePr/>
                <a:graphic xmlns:a="http://schemas.openxmlformats.org/drawingml/2006/main">
                  <a:graphicData uri="http://schemas.microsoft.com/office/word/2010/wordprocessingShape">
                    <wps:wsp>
                      <wps:cNvSpPr txBox="1"/>
                      <wps:spPr>
                        <a:xfrm>
                          <a:off x="0" y="0"/>
                          <a:ext cx="2326005" cy="342900"/>
                        </a:xfrm>
                        <a:prstGeom prst="rect">
                          <a:avLst/>
                        </a:prstGeom>
                        <a:noFill/>
                      </wps:spPr>
                      <wps:txbx>
                        <w:txbxContent>
                          <w:p w14:paraId="68FE7060" w14:textId="77777777" w:rsidR="004E7F4A" w:rsidRDefault="004E7F4A" w:rsidP="004E7F4A">
                            <w:pPr>
                              <w:pStyle w:val="NormalWeb"/>
                              <w:spacing w:before="0" w:beforeAutospacing="0" w:after="0" w:afterAutospacing="0"/>
                              <w:jc w:val="right"/>
                              <w:rPr>
                                <w:rFonts w:ascii="Arial" w:hAnsi="Arial" w:cs="Arial"/>
                                <w:color w:val="FFFFFF" w:themeColor="background1"/>
                                <w:sz w:val="28"/>
                                <w:szCs w:val="28"/>
                              </w:rPr>
                            </w:pPr>
                            <w:r>
                              <w:rPr>
                                <w:rFonts w:ascii="Arial" w:hAnsi="Arial" w:cs="Arial"/>
                                <w:color w:val="FFFFFF" w:themeColor="background1"/>
                                <w:sz w:val="28"/>
                                <w:szCs w:val="28"/>
                              </w:rPr>
                              <w:t>Farm Service Agency</w:t>
                            </w:r>
                          </w:p>
                          <w:p w14:paraId="042A0EBC" w14:textId="77777777" w:rsidR="004E7F4A" w:rsidRPr="008A49A2" w:rsidRDefault="004E7F4A" w:rsidP="004E7F4A">
                            <w:pPr>
                              <w:pStyle w:val="NormalWeb"/>
                              <w:spacing w:before="0" w:beforeAutospacing="0" w:after="0" w:afterAutospacing="0"/>
                              <w:jc w:val="right"/>
                              <w:rPr>
                                <w:rFonts w:ascii="Arial" w:hAnsi="Arial" w:cs="Arial"/>
                                <w:color w:val="FFFFFF" w:themeColor="background1"/>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FDB119" id="TextBox 1" o:spid="_x0000_s1027" type="#_x0000_t202" style="position:absolute;margin-left:382.2pt;margin-top:8.25pt;width:183.1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" filled="f" stroked="f">
                <v:textbox>
                  <w:txbxContent>
                    <w:p w14:paraId="68FE7060" w14:textId="77777777" w:rsidR="004E7F4A" w:rsidRDefault="004E7F4A" w:rsidP="004E7F4A">
                      <w:pPr>
                        <w:pStyle w:val="NormalWeb"/>
                        <w:spacing w:before="0" w:beforeAutospacing="0" w:after="0" w:afterAutospacing="0"/>
                        <w:jc w:val="right"/>
                        <w:rPr>
                          <w:rFonts w:ascii="Arial" w:hAnsi="Arial" w:cs="Arial"/>
                          <w:color w:val="FFFFFF" w:themeColor="background1"/>
                          <w:sz w:val="28"/>
                          <w:szCs w:val="28"/>
                        </w:rPr>
                      </w:pPr>
                      <w:r>
                        <w:rPr>
                          <w:rFonts w:ascii="Arial" w:hAnsi="Arial" w:cs="Arial"/>
                          <w:color w:val="FFFFFF" w:themeColor="background1"/>
                          <w:sz w:val="28"/>
                          <w:szCs w:val="28"/>
                        </w:rPr>
                        <w:t>Farm Service Agency</w:t>
                      </w:r>
                    </w:p>
                    <w:p w14:paraId="042A0EBC" w14:textId="77777777" w:rsidR="004E7F4A" w:rsidRPr="008A49A2" w:rsidRDefault="004E7F4A" w:rsidP="004E7F4A">
                      <w:pPr>
                        <w:pStyle w:val="NormalWeb"/>
                        <w:spacing w:before="0" w:beforeAutospacing="0" w:after="0" w:afterAutospacing="0"/>
                        <w:jc w:val="right"/>
                        <w:rPr>
                          <w:rFonts w:ascii="Arial" w:hAnsi="Arial" w:cs="Arial"/>
                          <w:color w:val="FFFFFF" w:themeColor="background1"/>
                          <w:sz w:val="28"/>
                          <w:szCs w:val="28"/>
                        </w:rPr>
                      </w:pPr>
                    </w:p>
                  </w:txbxContent>
                </v:textbox>
              </v:shape>
            </w:pict>
          </mc:Fallback>
        </mc:AlternateContent>
      </w:r>
    </w:p>
    <w:p w14:paraId="270D31DF" w14:textId="77777777" w:rsidR="004E7F4A" w:rsidRPr="00BD5BAF" w:rsidRDefault="004E7F4A" w:rsidP="004E7F4A">
      <w:pPr>
        <w:rPr>
          <w:rFonts w:ascii="Times New Roman" w:hAnsi="Times New Roman" w:cs="Times New Roman"/>
          <w:sz w:val="22"/>
          <w:szCs w:val="22"/>
        </w:rPr>
      </w:pPr>
    </w:p>
    <w:p w14:paraId="403EEFAF" w14:textId="77777777" w:rsidR="004E7F4A" w:rsidRPr="00BD5BAF" w:rsidRDefault="004E7F4A" w:rsidP="004E7F4A">
      <w:pPr>
        <w:rPr>
          <w:rFonts w:ascii="Times New Roman" w:hAnsi="Times New Roman" w:cs="Times New Roman"/>
          <w:sz w:val="22"/>
          <w:szCs w:val="22"/>
        </w:rPr>
      </w:pPr>
    </w:p>
    <w:p w14:paraId="497DE4D7" w14:textId="77777777" w:rsidR="004E7F4A" w:rsidRPr="00BD5BAF" w:rsidRDefault="004E7F4A" w:rsidP="004E7F4A">
      <w:pPr>
        <w:rPr>
          <w:rFonts w:ascii="Times New Roman" w:hAnsi="Times New Roman" w:cs="Times New Roman"/>
          <w:sz w:val="22"/>
          <w:szCs w:val="22"/>
        </w:rPr>
      </w:pPr>
    </w:p>
    <w:p w14:paraId="7DC0E4E4" w14:textId="77777777" w:rsidR="004E7F4A" w:rsidRPr="00BD5BAF" w:rsidRDefault="004E7F4A" w:rsidP="004E7F4A">
      <w:pPr>
        <w:rPr>
          <w:rFonts w:ascii="Times New Roman" w:hAnsi="Times New Roman" w:cs="Times New Roman"/>
          <w:sz w:val="22"/>
          <w:szCs w:val="22"/>
        </w:rPr>
      </w:pPr>
      <w:r w:rsidRPr="00BD5BAF">
        <w:rPr>
          <w:rFonts w:ascii="Times New Roman" w:hAnsi="Times New Roman" w:cs="Times New Roman"/>
          <w:noProof/>
          <w:sz w:val="22"/>
          <w:szCs w:val="22"/>
        </w:rPr>
        <mc:AlternateContent>
          <mc:Choice Requires="wps">
            <w:drawing>
              <wp:anchor distT="0" distB="0" distL="114300" distR="114300" simplePos="0" relativeHeight="251658242" behindDoc="0" locked="0" layoutInCell="1" allowOverlap="1" wp14:anchorId="6CBD9133" wp14:editId="3F784957">
                <wp:simplePos x="0" y="0"/>
                <wp:positionH relativeFrom="column">
                  <wp:posOffset>5086350</wp:posOffset>
                </wp:positionH>
                <wp:positionV relativeFrom="paragraph">
                  <wp:posOffset>50165</wp:posOffset>
                </wp:positionV>
                <wp:extent cx="2049145" cy="457200"/>
                <wp:effectExtent l="0" t="0" r="8255" b="0"/>
                <wp:wrapNone/>
                <wp:docPr id="15" name="Text Box 6"/>
                <wp:cNvGraphicFramePr/>
                <a:graphic xmlns:a="http://schemas.openxmlformats.org/drawingml/2006/main">
                  <a:graphicData uri="http://schemas.microsoft.com/office/word/2010/wordprocessingShape">
                    <wps:wsp>
                      <wps:cNvSpPr txBox="1"/>
                      <wps:spPr>
                        <a:xfrm>
                          <a:off x="0" y="0"/>
                          <a:ext cx="2049145" cy="457200"/>
                        </a:xfrm>
                        <a:prstGeom prst="rect">
                          <a:avLst/>
                        </a:prstGeom>
                        <a:solidFill>
                          <a:schemeClr val="lt1"/>
                        </a:solidFill>
                        <a:ln w="6350">
                          <a:noFill/>
                        </a:ln>
                      </wps:spPr>
                      <wps:txbx>
                        <w:txbxContent>
                          <w:p w14:paraId="4EEB4DEB" w14:textId="77777777" w:rsidR="004E7F4A" w:rsidRDefault="004E7F4A" w:rsidP="004E7F4A">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4190F3B" w14:textId="77777777" w:rsidR="004E7F4A" w:rsidRDefault="00B159EA" w:rsidP="004E7F4A">
                            <w:pPr>
                              <w:pStyle w:val="NormalWeb"/>
                              <w:spacing w:before="0" w:beforeAutospacing="0" w:after="0" w:afterAutospacing="0"/>
                              <w:jc w:val="right"/>
                            </w:pPr>
                            <w:hyperlink r:id="rId8" w:history="1">
                              <w:r w:rsidR="004E7F4A" w:rsidRPr="00585B0F">
                                <w:rPr>
                                  <w:rStyle w:val="Hyperlink"/>
                                  <w:rFonts w:ascii="Arial" w:eastAsia="Times New Roman" w:hAnsi="Arial"/>
                                  <w:kern w:val="24"/>
                                  <w:sz w:val="22"/>
                                  <w:szCs w:val="22"/>
                                </w:rPr>
                                <w:t>FPAC.BC.Press@usda.gov</w:t>
                              </w:r>
                            </w:hyperlink>
                            <w:r w:rsidR="004E7F4A">
                              <w:rPr>
                                <w:rFonts w:ascii="Arial" w:eastAsia="Times New Roman" w:hAnsi="Arial"/>
                                <w:color w:val="000000" w:themeColor="text1"/>
                                <w:kern w:val="24"/>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D9133" id="Text Box 6" o:spid="_x0000_s1028" type="#_x0000_t202" style="position:absolute;margin-left:400.5pt;margin-top:3.95pt;width:161.35pt;height:36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" fillcolor="white [3201]" stroked="f" strokeweight=".5pt">
                <v:textbox>
                  <w:txbxContent>
                    <w:p w14:paraId="4EEB4DEB" w14:textId="77777777" w:rsidR="004E7F4A" w:rsidRDefault="004E7F4A" w:rsidP="004E7F4A">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4190F3B" w14:textId="77777777" w:rsidR="004E7F4A" w:rsidRDefault="001F2677" w:rsidP="004E7F4A">
                      <w:pPr>
                        <w:pStyle w:val="NormalWeb"/>
                        <w:spacing w:before="0" w:beforeAutospacing="0" w:after="0" w:afterAutospacing="0"/>
                        <w:jc w:val="right"/>
                      </w:pPr>
                      <w:hyperlink r:id="rId9" w:history="1">
                        <w:r w:rsidR="004E7F4A" w:rsidRPr="00585B0F">
                          <w:rPr>
                            <w:rStyle w:val="Hyperlink"/>
                            <w:rFonts w:ascii="Arial" w:eastAsia="Times New Roman" w:hAnsi="Arial"/>
                            <w:kern w:val="24"/>
                            <w:sz w:val="22"/>
                            <w:szCs w:val="22"/>
                          </w:rPr>
                          <w:t>FPAC.BC.Press@usda.gov</w:t>
                        </w:r>
                      </w:hyperlink>
                      <w:r w:rsidR="004E7F4A">
                        <w:rPr>
                          <w:rFonts w:ascii="Arial" w:eastAsia="Times New Roman" w:hAnsi="Arial"/>
                          <w:color w:val="000000" w:themeColor="text1"/>
                          <w:kern w:val="24"/>
                          <w:sz w:val="22"/>
                          <w:szCs w:val="22"/>
                        </w:rPr>
                        <w:t xml:space="preserve"> </w:t>
                      </w:r>
                    </w:p>
                  </w:txbxContent>
                </v:textbox>
              </v:shape>
            </w:pict>
          </mc:Fallback>
        </mc:AlternateContent>
      </w:r>
    </w:p>
    <w:p w14:paraId="6C1A0865" w14:textId="77777777" w:rsidR="004E7F4A" w:rsidRPr="00BD5BAF" w:rsidRDefault="004E7F4A" w:rsidP="004E7F4A">
      <w:pPr>
        <w:rPr>
          <w:rFonts w:ascii="Times New Roman" w:hAnsi="Times New Roman" w:cs="Times New Roman"/>
          <w:sz w:val="22"/>
          <w:szCs w:val="22"/>
        </w:rPr>
      </w:pPr>
    </w:p>
    <w:p w14:paraId="3DC0F76A" w14:textId="77777777" w:rsidR="004E7F4A" w:rsidRPr="00BD5BAF" w:rsidRDefault="004E7F4A" w:rsidP="004E7F4A">
      <w:pPr>
        <w:rPr>
          <w:rFonts w:ascii="Times New Roman" w:hAnsi="Times New Roman" w:cs="Times New Roman"/>
          <w:sz w:val="22"/>
          <w:szCs w:val="22"/>
        </w:rPr>
      </w:pPr>
    </w:p>
    <w:p w14:paraId="2EE06690" w14:textId="77777777" w:rsidR="004E7F4A" w:rsidRPr="00BD5BAF" w:rsidRDefault="004E7F4A" w:rsidP="004E7F4A">
      <w:pPr>
        <w:rPr>
          <w:rFonts w:ascii="Times New Roman" w:hAnsi="Times New Roman" w:cs="Times New Roman"/>
          <w:b/>
          <w:sz w:val="22"/>
          <w:szCs w:val="22"/>
        </w:rPr>
      </w:pPr>
    </w:p>
    <w:p w14:paraId="7FE0243E" w14:textId="29BD1B52" w:rsidR="00105AB3" w:rsidRPr="00105AB3" w:rsidRDefault="00105AB3" w:rsidP="00105AB3">
      <w:pPr>
        <w:pStyle w:val="NormalWeb"/>
        <w:spacing w:before="75" w:beforeAutospacing="0" w:after="0" w:afterAutospacing="0"/>
        <w:ind w:left="540"/>
        <w:jc w:val="center"/>
        <w:rPr>
          <w:rFonts w:ascii="Arial" w:hAnsi="Arial" w:cs="Arial"/>
          <w:b/>
          <w:bCs/>
          <w:sz w:val="28"/>
          <w:szCs w:val="28"/>
          <w:lang w:val="en"/>
        </w:rPr>
      </w:pPr>
      <w:r w:rsidRPr="00105AB3">
        <w:rPr>
          <w:rFonts w:ascii="Arial" w:hAnsi="Arial" w:cs="Arial"/>
          <w:b/>
          <w:bCs/>
          <w:sz w:val="28"/>
          <w:szCs w:val="28"/>
          <w:lang w:val="en"/>
        </w:rPr>
        <w:t>USDA Provides $1.8 Billion to Offset Market Fluctuations</w:t>
      </w:r>
    </w:p>
    <w:p w14:paraId="7CD3EE13" w14:textId="118C72C5" w:rsidR="00105AB3" w:rsidRDefault="00105AB3" w:rsidP="00105AB3">
      <w:pPr>
        <w:jc w:val="center"/>
        <w:rPr>
          <w:rFonts w:ascii="Times New Roman" w:hAnsi="Times New Roman" w:cs="Times New Roman"/>
          <w:i/>
          <w:iCs/>
          <w:lang w:val="en"/>
        </w:rPr>
      </w:pPr>
      <w:r w:rsidRPr="00105AB3">
        <w:rPr>
          <w:rFonts w:ascii="Times New Roman" w:hAnsi="Times New Roman" w:cs="Times New Roman"/>
          <w:i/>
          <w:iCs/>
          <w:lang w:val="en"/>
        </w:rPr>
        <w:t>Farmers Can Now Make Elections, Enroll in Agriculture Risk Coverage and Price Loss Coverage Programs</w:t>
      </w:r>
    </w:p>
    <w:p w14:paraId="541BB805" w14:textId="77777777" w:rsidR="00105AB3" w:rsidRPr="00105AB3" w:rsidRDefault="00105AB3" w:rsidP="00105AB3">
      <w:pPr>
        <w:jc w:val="center"/>
        <w:rPr>
          <w:rFonts w:ascii="Times New Roman" w:hAnsi="Times New Roman" w:cs="Times New Roman"/>
          <w:lang w:val="en"/>
        </w:rPr>
      </w:pPr>
    </w:p>
    <w:p w14:paraId="7E1CA24A" w14:textId="314FF0CC" w:rsidR="002078C6" w:rsidRPr="006C343F" w:rsidRDefault="00105AB3" w:rsidP="002078C6">
      <w:pPr>
        <w:pStyle w:val="xparagraph"/>
        <w:spacing w:beforeAutospacing="0" w:after="0" w:afterAutospacing="0"/>
        <w:ind w:left="180"/>
        <w:textAlignment w:val="baseline"/>
        <w:rPr>
          <w:sz w:val="22"/>
          <w:szCs w:val="22"/>
        </w:rPr>
      </w:pPr>
      <w:r w:rsidRPr="002A45DB">
        <w:rPr>
          <w:b/>
          <w:bCs/>
          <w:color w:val="000000" w:themeColor="text1"/>
          <w:lang w:val="en"/>
        </w:rPr>
        <w:t xml:space="preserve">WASHINGTON, </w:t>
      </w:r>
      <w:r w:rsidR="00843916">
        <w:rPr>
          <w:b/>
          <w:bCs/>
          <w:color w:val="000000" w:themeColor="text1"/>
          <w:lang w:val="en"/>
        </w:rPr>
        <w:t>Nov</w:t>
      </w:r>
      <w:r w:rsidRPr="002A45DB">
        <w:rPr>
          <w:b/>
          <w:bCs/>
          <w:color w:val="000000" w:themeColor="text1"/>
          <w:lang w:val="en"/>
        </w:rPr>
        <w:t>. </w:t>
      </w:r>
      <w:r w:rsidR="00BA235C">
        <w:rPr>
          <w:b/>
          <w:bCs/>
          <w:color w:val="000000" w:themeColor="text1"/>
          <w:lang w:val="en"/>
        </w:rPr>
        <w:t>1</w:t>
      </w:r>
      <w:r w:rsidRPr="002A45DB">
        <w:rPr>
          <w:b/>
          <w:bCs/>
          <w:color w:val="000000" w:themeColor="text1"/>
          <w:lang w:val="en"/>
        </w:rPr>
        <w:t>, 2021</w:t>
      </w:r>
      <w:r w:rsidRPr="002A45DB">
        <w:rPr>
          <w:color w:val="000000" w:themeColor="text1"/>
          <w:lang w:val="en"/>
        </w:rPr>
        <w:t xml:space="preserve"> – </w:t>
      </w:r>
      <w:r w:rsidR="002078C6" w:rsidRPr="006C343F">
        <w:rPr>
          <w:rStyle w:val="xnormaltextrun"/>
          <w:lang w:val="en"/>
        </w:rPr>
        <w:t>The U.S. Department of Agriculture (USDA) is in the process of issuing $1.8 billion in payments to agricultural producers who enrolled in the Agriculture Risk Coverage (ARC) and Price Loss Coverage (PLC) programs for the 2020 crop year</w:t>
      </w:r>
      <w:r w:rsidR="002078C6" w:rsidRPr="006C343F">
        <w:rPr>
          <w:rStyle w:val="xnormaltextrun"/>
          <w:strike/>
          <w:lang w:val="en"/>
        </w:rPr>
        <w:t>.</w:t>
      </w:r>
      <w:r w:rsidR="002078C6" w:rsidRPr="006C343F">
        <w:rPr>
          <w:rStyle w:val="xnormaltextrun"/>
          <w:lang w:val="en"/>
        </w:rPr>
        <w:t>  These payments provide critical support to </w:t>
      </w:r>
      <w:r w:rsidR="002078C6" w:rsidRPr="006C343F">
        <w:rPr>
          <w:rStyle w:val="xnormaltextrun"/>
        </w:rPr>
        <w:t>help mitigate fluctuations in either revenue or prices for certain crops. These two USDA safety-net programs help producers of certain crops build back better after facing the impacts of COVID-19 and other challenges. </w:t>
      </w:r>
      <w:r w:rsidR="002078C6" w:rsidRPr="006C343F">
        <w:rPr>
          <w:rStyle w:val="xeop"/>
        </w:rPr>
        <w:t> </w:t>
      </w:r>
    </w:p>
    <w:p w14:paraId="2B8AF702" w14:textId="77777777" w:rsidR="002078C6" w:rsidRPr="006C343F" w:rsidRDefault="002078C6" w:rsidP="002078C6">
      <w:pPr>
        <w:pStyle w:val="m4294699905874302090xparagraph"/>
        <w:shd w:val="clear" w:color="auto" w:fill="FFFFFF"/>
        <w:spacing w:beforeAutospacing="0" w:after="0" w:afterAutospacing="0"/>
        <w:ind w:left="180"/>
        <w:textAlignment w:val="baseline"/>
        <w:rPr>
          <w:rFonts w:ascii="Calibri" w:hAnsi="Calibri" w:cs="Calibri"/>
          <w:sz w:val="22"/>
          <w:szCs w:val="22"/>
        </w:rPr>
      </w:pPr>
      <w:r w:rsidRPr="006C343F">
        <w:rPr>
          <w:rStyle w:val="m4294699905874302090xnormaltextrun"/>
        </w:rPr>
        <w:t>In addition, USDA’s Farm Service Agency (FSA) is encouraging producers to contact their local USDA Service Centers to make or change elections and to enroll for 2022 ARC or PLC, providing future protections against market fluctuations. The election and enrollment period opened on Oct. 18, 2021 and runs through March 15, 2022.</w:t>
      </w:r>
      <w:r w:rsidRPr="006C343F">
        <w:rPr>
          <w:rStyle w:val="m4294699905874302090xeop"/>
        </w:rPr>
        <w:t> </w:t>
      </w:r>
    </w:p>
    <w:p w14:paraId="0D32C09A" w14:textId="77777777" w:rsidR="002078C6" w:rsidRPr="006C343F" w:rsidRDefault="002078C6" w:rsidP="002078C6">
      <w:pPr>
        <w:pStyle w:val="m4294699905874302090xparagraph"/>
        <w:shd w:val="clear" w:color="auto" w:fill="FFFFFF"/>
        <w:spacing w:beforeAutospacing="0" w:after="0" w:afterAutospacing="0"/>
        <w:ind w:left="180"/>
        <w:textAlignment w:val="baseline"/>
        <w:rPr>
          <w:rFonts w:ascii="Calibri" w:hAnsi="Calibri" w:cs="Calibri"/>
          <w:sz w:val="22"/>
          <w:szCs w:val="22"/>
        </w:rPr>
      </w:pPr>
      <w:r w:rsidRPr="006C343F">
        <w:rPr>
          <w:rStyle w:val="m4294699905874302090xnormaltextrun"/>
        </w:rPr>
        <w:t>“As we build back better than we were before, we will continue to support our farmers, ranchers and producers as they overcome the challenges associated with COVID-19, climate change and other issues,” said FSA Administrator Zach Ducheneaux. “We also know producers prefer to get good prices for their crops in the marketplace, but these programs provide stability when markets are volatile, making a big difference in the lives of farm families across the country.”</w:t>
      </w:r>
      <w:r w:rsidRPr="006C343F">
        <w:rPr>
          <w:rStyle w:val="m4294699905874302090xeop"/>
        </w:rPr>
        <w:t> </w:t>
      </w:r>
    </w:p>
    <w:p w14:paraId="6F138240"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b/>
          <w:bCs/>
          <w:color w:val="000000"/>
          <w:lang w:val="en"/>
        </w:rPr>
        <w:t>2020 Payments and Contracts</w:t>
      </w:r>
      <w:r>
        <w:rPr>
          <w:rStyle w:val="m4294699905874302090xeop"/>
          <w:color w:val="000000"/>
        </w:rPr>
        <w:t> </w:t>
      </w:r>
    </w:p>
    <w:p w14:paraId="5A78B4D4"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ARC and PLC payments for a given crop year are paid out the following fall to allow actual county yields and the Market Year Average prices to be finalized. This month, FSA processed payments to producers enrolled in 2020 ARC-County (ARC-CO), ARC-Individual (ARC-IC) and PLC for covered commodities that triggered for the crop year. </w:t>
      </w:r>
      <w:r>
        <w:rPr>
          <w:rStyle w:val="m4294699905874302090xeop"/>
          <w:color w:val="000000"/>
        </w:rPr>
        <w:t> </w:t>
      </w:r>
    </w:p>
    <w:p w14:paraId="63BE124A" w14:textId="22F9E5EF"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For ARC-CO, </w:t>
      </w:r>
      <w:r>
        <w:rPr>
          <w:rStyle w:val="m4294699905874302090xnormaltextrun"/>
          <w:color w:val="000000"/>
          <w:lang w:val="en"/>
        </w:rPr>
        <w:t>view the </w:t>
      </w:r>
      <w:hyperlink r:id="rId10" w:tgtFrame="_blank" w:history="1">
        <w:r w:rsidR="003E2ECD" w:rsidRPr="002A45DB">
          <w:rPr>
            <w:rStyle w:val="xnormaltextrun"/>
            <w:color w:val="0563C1"/>
            <w:lang w:val="en"/>
          </w:rPr>
          <w:t>2020 ARC-CO Benchmark Yields and Revenues online database</w:t>
        </w:r>
      </w:hyperlink>
      <w:r>
        <w:rPr>
          <w:rStyle w:val="m4294699905874302090xnormaltextrun"/>
          <w:color w:val="000000"/>
          <w:lang w:val="en"/>
        </w:rPr>
        <w:t> for payment rates applicable to their county and each covered commodity. </w:t>
      </w:r>
      <w:r>
        <w:rPr>
          <w:rStyle w:val="m4294699905874302090xnormaltextrun"/>
          <w:color w:val="000000"/>
        </w:rPr>
        <w:t> </w:t>
      </w:r>
      <w:r>
        <w:rPr>
          <w:rStyle w:val="m4294699905874302090xeop"/>
          <w:color w:val="000000"/>
        </w:rPr>
        <w:t> </w:t>
      </w:r>
    </w:p>
    <w:p w14:paraId="0DD08298"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For PLC, payments </w:t>
      </w:r>
      <w:r>
        <w:rPr>
          <w:rStyle w:val="m4294699905874302090xnormaltextrun"/>
          <w:color w:val="000000"/>
          <w:lang w:val="en"/>
        </w:rPr>
        <w:t>have triggered for barley, canola, chickpeas (large and small), dry peas, flaxseed, lentils, peanuts, seed cotton and wheat. More information on rice payments will be announced later this fall and in early 2022.</w:t>
      </w:r>
      <w:r>
        <w:rPr>
          <w:rStyle w:val="m4294699905874302090xnormaltextrun"/>
          <w:color w:val="000000"/>
        </w:rPr>
        <w:t> </w:t>
      </w:r>
      <w:r>
        <w:rPr>
          <w:rStyle w:val="m4294699905874302090xeop"/>
          <w:color w:val="000000"/>
        </w:rPr>
        <w:t> </w:t>
      </w:r>
    </w:p>
    <w:p w14:paraId="132EAF4D"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For ARC-IC, producers should </w:t>
      </w:r>
      <w:r>
        <w:rPr>
          <w:rStyle w:val="m4294699905874302090xnormaltextrun"/>
          <w:color w:val="222222"/>
          <w:lang w:val="en"/>
        </w:rPr>
        <w:t>contact their local FSA office for additional information pertaining to 2020 payment information, which relies on</w:t>
      </w:r>
      <w:r>
        <w:rPr>
          <w:rStyle w:val="m4294699905874302090xnormaltextrun"/>
          <w:color w:val="000000"/>
          <w:lang w:val="en"/>
        </w:rPr>
        <w:t> producer-specific yields for the crop and farm to determine benchmark yields and actual year yields when calculating revenues.</w:t>
      </w:r>
      <w:r>
        <w:rPr>
          <w:rStyle w:val="m4294699905874302090xeop"/>
          <w:color w:val="000000"/>
        </w:rPr>
        <w:t> </w:t>
      </w:r>
    </w:p>
    <w:p w14:paraId="0107EBA7"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b/>
          <w:bCs/>
          <w:color w:val="222222"/>
        </w:rPr>
        <w:t>By the Numbers</w:t>
      </w:r>
      <w:r>
        <w:rPr>
          <w:rStyle w:val="m4294699905874302090xeop"/>
          <w:color w:val="222222"/>
        </w:rPr>
        <w:t> </w:t>
      </w:r>
    </w:p>
    <w:p w14:paraId="27E80E81"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More than 1.7 million contracts were signed in 2019.  In 2020, producers signed nearly 1.8 million ARC or PLC contracts, and 251 million out of 273 million base acres were enrolled in the programs.  In 2021, signed contracts surpassed 1.8 million.</w:t>
      </w:r>
      <w:r>
        <w:rPr>
          <w:rStyle w:val="m4294699905874302090xeop"/>
          <w:color w:val="000000"/>
        </w:rPr>
        <w:t> </w:t>
      </w:r>
    </w:p>
    <w:p w14:paraId="0C81447B" w14:textId="77777777" w:rsidR="002078C6" w:rsidRDefault="002078C6" w:rsidP="002078C6">
      <w:pPr>
        <w:pStyle w:val="xparagraph"/>
        <w:spacing w:beforeAutospacing="0" w:after="0" w:afterAutospacing="0"/>
        <w:ind w:left="180"/>
        <w:textAlignment w:val="baseline"/>
        <w:rPr>
          <w:rFonts w:ascii="Calibri" w:hAnsi="Calibri" w:cs="Calibri"/>
          <w:sz w:val="22"/>
          <w:szCs w:val="22"/>
        </w:rPr>
      </w:pPr>
      <w:r>
        <w:rPr>
          <w:rStyle w:val="xnormaltextrun"/>
          <w:color w:val="000000"/>
        </w:rPr>
        <w:lastRenderedPageBreak/>
        <w:t xml:space="preserve">Since the </w:t>
      </w:r>
      <w:r>
        <w:rPr>
          <w:rStyle w:val="xnormaltextrun"/>
        </w:rPr>
        <w:t xml:space="preserve">ARC and PLC were authorized by </w:t>
      </w:r>
      <w:r>
        <w:rPr>
          <w:rStyle w:val="xnormaltextrun"/>
          <w:strike/>
        </w:rPr>
        <w:t>in</w:t>
      </w:r>
      <w:r>
        <w:rPr>
          <w:rStyle w:val="xnormaltextrun"/>
        </w:rPr>
        <w:t xml:space="preserve"> the 2014 Farm Bill and reauthorized by </w:t>
      </w:r>
      <w:r>
        <w:rPr>
          <w:rStyle w:val="xnormaltextrun"/>
          <w:strike/>
        </w:rPr>
        <w:t>in</w:t>
      </w:r>
      <w:r>
        <w:rPr>
          <w:rStyle w:val="xnormaltextrun"/>
        </w:rPr>
        <w:t xml:space="preserve"> the 2018 Farm Bill, these safety-net programs have paid out more than $32.5 billion to producers of covered commodities.</w:t>
      </w:r>
      <w:r>
        <w:rPr>
          <w:rStyle w:val="xeop"/>
        </w:rPr>
        <w:t> </w:t>
      </w:r>
    </w:p>
    <w:p w14:paraId="562CEAF3"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“I am incredibly proud of our FSA staff who work with producers to make elections and to enroll in these important programs,” Ducheneaux said. “We are excited for the 2022 signup and hope producers take advantage of these valuable programs.”</w:t>
      </w:r>
      <w:r>
        <w:rPr>
          <w:rStyle w:val="m4294699905874302090xeop"/>
          <w:color w:val="000000"/>
        </w:rPr>
        <w:t> </w:t>
      </w:r>
    </w:p>
    <w:p w14:paraId="143E60AE"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b/>
          <w:bCs/>
          <w:color w:val="000000"/>
          <w:lang w:val="en"/>
        </w:rPr>
        <w:t>2022 Elections and Enrollment</w:t>
      </w:r>
      <w:r>
        <w:rPr>
          <w:rStyle w:val="m4294699905874302090xnormaltextrun"/>
          <w:color w:val="000000"/>
        </w:rPr>
        <w:t> </w:t>
      </w:r>
      <w:r>
        <w:rPr>
          <w:rStyle w:val="m4294699905874302090xeop"/>
          <w:color w:val="000000"/>
        </w:rPr>
        <w:t> </w:t>
      </w:r>
    </w:p>
    <w:p w14:paraId="380FC0B0"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Producers can elect coverage and enroll in ARC-CO or PLC, which are both crop-by-crop, or ARC-IC, which is for the entire farm. Although election changes for 2022 are optional, producers must enroll through a signed contract each year. Also, if a producer has a multi-year contract on the farm and makes an election change for 2022, it will be necessary to sign a new contract.  </w:t>
      </w:r>
      <w:r>
        <w:rPr>
          <w:rStyle w:val="m4294699905874302090xeop"/>
          <w:color w:val="000000"/>
        </w:rPr>
        <w:t> </w:t>
      </w:r>
    </w:p>
    <w:p w14:paraId="4F5FF2BC"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If an election is not submitted by the deadline of March 15, 2022, the election remains the same as the 2021 election for crops on the farm.  Farm owners cannot enroll in either program unless they have a share interest in the farm.   </w:t>
      </w:r>
      <w:r>
        <w:rPr>
          <w:rStyle w:val="m4294699905874302090xeop"/>
          <w:color w:val="000000"/>
        </w:rPr>
        <w:t> </w:t>
      </w:r>
    </w:p>
    <w:p w14:paraId="2EEFE51F" w14:textId="25E1BAFA"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rPr>
        <w:t>Covered commodities include barley, canola, large and small chickpeas, corn, </w:t>
      </w:r>
      <w:proofErr w:type="spellStart"/>
      <w:r>
        <w:rPr>
          <w:rStyle w:val="m4294699905874302090xspellingerror"/>
          <w:color w:val="000000"/>
        </w:rPr>
        <w:t>crambe</w:t>
      </w:r>
      <w:proofErr w:type="spellEnd"/>
      <w:r>
        <w:rPr>
          <w:rStyle w:val="m4294699905874302090xnormaltextrun"/>
          <w:color w:val="000000"/>
        </w:rPr>
        <w:t xml:space="preserve">, flaxseed, grain sorghum, lentils, mustard seed, oats, peanuts, dry peas, rapeseed, long grain rice, medium and short grain rice, safflower seed, seed cotton, sesame, soybeans, sunflower </w:t>
      </w:r>
      <w:r w:rsidR="00FA08FC">
        <w:rPr>
          <w:rStyle w:val="m4294699905874302090xnormaltextrun"/>
          <w:color w:val="000000"/>
        </w:rPr>
        <w:t>seed,</w:t>
      </w:r>
      <w:r>
        <w:rPr>
          <w:rStyle w:val="m4294699905874302090xnormaltextrun"/>
          <w:color w:val="000000"/>
        </w:rPr>
        <w:t xml:space="preserve"> and wheat.  </w:t>
      </w:r>
      <w:r>
        <w:rPr>
          <w:rStyle w:val="m4294699905874302090xeop"/>
          <w:color w:val="000000"/>
        </w:rPr>
        <w:t> </w:t>
      </w:r>
    </w:p>
    <w:p w14:paraId="4435B366"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b/>
          <w:bCs/>
          <w:color w:val="000000"/>
          <w:lang w:val="en"/>
        </w:rPr>
        <w:t>Web-Based Decision Tools</w:t>
      </w:r>
      <w:r>
        <w:rPr>
          <w:rStyle w:val="m4294699905874302090xnormaltextrun"/>
          <w:color w:val="000000"/>
        </w:rPr>
        <w:t> </w:t>
      </w:r>
      <w:r>
        <w:rPr>
          <w:rStyle w:val="m4294699905874302090xeop"/>
          <w:color w:val="000000"/>
        </w:rPr>
        <w:t> </w:t>
      </w:r>
    </w:p>
    <w:p w14:paraId="5B30216D"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lang w:val="en"/>
        </w:rPr>
        <w:t>In partnership with USDA, the University of Illinois and Texas A&amp;M University offer web-based decision tools to assist producers in making informed, educated decisions using crop data specific to their respective farming operations. Tools include:</w:t>
      </w:r>
      <w:r>
        <w:rPr>
          <w:rStyle w:val="m4294699905874302090xnormaltextrun"/>
          <w:color w:val="000000"/>
        </w:rPr>
        <w:t> </w:t>
      </w:r>
      <w:r>
        <w:rPr>
          <w:rStyle w:val="m4294699905874302090xeop"/>
          <w:color w:val="000000"/>
        </w:rPr>
        <w:t> </w:t>
      </w:r>
    </w:p>
    <w:p w14:paraId="0D8D72EE" w14:textId="3F9C73D4" w:rsidR="00322886" w:rsidRPr="002A45DB" w:rsidRDefault="00B159EA" w:rsidP="00322886">
      <w:pPr>
        <w:pStyle w:val="xparagraph"/>
        <w:numPr>
          <w:ilvl w:val="0"/>
          <w:numId w:val="6"/>
        </w:numPr>
        <w:spacing w:beforeAutospacing="0" w:after="120" w:afterAutospacing="0"/>
        <w:textAlignment w:val="baseline"/>
      </w:pPr>
      <w:hyperlink r:id="rId11" w:tgtFrame="_blank" w:history="1">
        <w:r w:rsidR="00322886" w:rsidRPr="002A45DB">
          <w:rPr>
            <w:rStyle w:val="xnormaltextrun"/>
            <w:color w:val="0563C1"/>
            <w:lang w:val="en"/>
          </w:rPr>
          <w:t>Gardner-</w:t>
        </w:r>
        <w:proofErr w:type="spellStart"/>
        <w:r w:rsidR="00322886" w:rsidRPr="002A45DB">
          <w:rPr>
            <w:rStyle w:val="xnormaltextrun"/>
            <w:color w:val="0563C1"/>
            <w:lang w:val="en"/>
          </w:rPr>
          <w:t>farmdoc</w:t>
        </w:r>
        <w:proofErr w:type="spellEnd"/>
        <w:r w:rsidR="00322886" w:rsidRPr="002A45DB">
          <w:rPr>
            <w:rStyle w:val="xnormaltextrun"/>
            <w:color w:val="0563C1"/>
            <w:lang w:val="en"/>
          </w:rPr>
          <w:t xml:space="preserve"> Payment Calculator</w:t>
        </w:r>
      </w:hyperlink>
      <w:r w:rsidR="00322886" w:rsidRPr="002A45DB">
        <w:rPr>
          <w:rStyle w:val="xnormaltextrun"/>
          <w:color w:val="000000"/>
          <w:lang w:val="en"/>
        </w:rPr>
        <w:t>, a tool available through the University of Illinois allows producers to estimate payments for farms and counties for ARC-CO and PLC.</w:t>
      </w:r>
      <w:r w:rsidR="00322886" w:rsidRPr="002A45DB">
        <w:rPr>
          <w:rStyle w:val="xeop"/>
          <w:color w:val="000000"/>
        </w:rPr>
        <w:t> </w:t>
      </w:r>
    </w:p>
    <w:p w14:paraId="067EBA14" w14:textId="77777777" w:rsidR="00322886" w:rsidRPr="002A45DB" w:rsidRDefault="00B159EA" w:rsidP="00322886">
      <w:pPr>
        <w:pStyle w:val="xparagraph"/>
        <w:numPr>
          <w:ilvl w:val="0"/>
          <w:numId w:val="6"/>
        </w:numPr>
        <w:spacing w:beforeAutospacing="0" w:after="120" w:afterAutospacing="0"/>
        <w:textAlignment w:val="baseline"/>
      </w:pPr>
      <w:hyperlink r:id="rId12" w:tgtFrame="_blank" w:history="1">
        <w:r w:rsidR="00322886" w:rsidRPr="002A45DB">
          <w:rPr>
            <w:rStyle w:val="xnormaltextrun"/>
            <w:color w:val="0563C1"/>
            <w:lang w:val="en"/>
          </w:rPr>
          <w:t>ARC and PLC Decision Tool</w:t>
        </w:r>
      </w:hyperlink>
      <w:r w:rsidR="00322886" w:rsidRPr="002A45DB">
        <w:rPr>
          <w:rStyle w:val="xnormaltextrun"/>
          <w:color w:val="000000"/>
          <w:lang w:val="en"/>
        </w:rPr>
        <w:t>, a tool available </w:t>
      </w:r>
      <w:r w:rsidR="00322886" w:rsidRPr="002A45DB">
        <w:rPr>
          <w:rStyle w:val="xspellingerror"/>
          <w:color w:val="000000"/>
          <w:lang w:val="en"/>
        </w:rPr>
        <w:t>through Texas</w:t>
      </w:r>
      <w:r w:rsidR="00322886" w:rsidRPr="002A45DB">
        <w:rPr>
          <w:rStyle w:val="xnormaltextrun"/>
          <w:color w:val="000000"/>
          <w:lang w:val="en"/>
        </w:rPr>
        <w:t> A&amp;M tallows producers to estimate payments and yield updates and expected payments for 2022. </w:t>
      </w:r>
      <w:r w:rsidR="00322886" w:rsidRPr="002A45DB">
        <w:rPr>
          <w:rStyle w:val="xeop"/>
          <w:color w:val="000000"/>
        </w:rPr>
        <w:t> </w:t>
      </w:r>
    </w:p>
    <w:p w14:paraId="0DE88E2A" w14:textId="46B54BC9" w:rsidR="002078C6" w:rsidRDefault="002078C6" w:rsidP="0032288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b/>
          <w:bCs/>
          <w:color w:val="000000"/>
        </w:rPr>
        <w:t>Crop Insurance Considerations</w:t>
      </w:r>
      <w:r>
        <w:rPr>
          <w:rStyle w:val="m4294699905874302090xnormaltextrun"/>
          <w:color w:val="000000"/>
        </w:rPr>
        <w:t> </w:t>
      </w:r>
      <w:r>
        <w:rPr>
          <w:rStyle w:val="m4294699905874302090xeop"/>
          <w:color w:val="000000"/>
        </w:rPr>
        <w:t> </w:t>
      </w:r>
    </w:p>
    <w:p w14:paraId="2DA294F6"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222222"/>
        </w:rPr>
        <w:t>ARC and PLC are part of a broader safety net provided by USDA, which also includes crop insurance and marketing assistance loans. </w:t>
      </w:r>
      <w:r>
        <w:rPr>
          <w:rStyle w:val="m4294699905874302090xeop"/>
          <w:color w:val="222222"/>
        </w:rPr>
        <w:t> </w:t>
      </w:r>
    </w:p>
    <w:p w14:paraId="51396194"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222222"/>
        </w:rPr>
        <w:t>Producers are reminded that ARC and PLC elections and enrollments can impact eligibility for some crop insurance products. </w:t>
      </w:r>
      <w:r>
        <w:rPr>
          <w:rStyle w:val="m4294699905874302090xeop"/>
          <w:color w:val="222222"/>
        </w:rPr>
        <w:t> </w:t>
      </w:r>
    </w:p>
    <w:p w14:paraId="21615E28"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222222"/>
        </w:rPr>
        <w:t>Producers on farms with a PLC election have the option of purchasing Supplemental Coverage Option (SCO) through their Approved Insurance Provider; however, producers on farms where ARC is the election are ineligible for SCO on their planted acres for that crop on that farm. </w:t>
      </w:r>
      <w:r>
        <w:rPr>
          <w:rStyle w:val="m4294699905874302090xeop"/>
          <w:color w:val="222222"/>
        </w:rPr>
        <w:t> </w:t>
      </w:r>
    </w:p>
    <w:p w14:paraId="2F65F3E2"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222222"/>
        </w:rPr>
        <w:t>Unlike SCO, the Enhanced Coverage Option (ECO) is unaffected by an ARC election.  Producers may add ECO regardless of the farm program election.</w:t>
      </w:r>
      <w:r>
        <w:rPr>
          <w:rStyle w:val="m4294699905874302090xeop"/>
          <w:color w:val="222222"/>
        </w:rPr>
        <w:t> </w:t>
      </w:r>
    </w:p>
    <w:p w14:paraId="7549E649"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222222"/>
        </w:rPr>
        <w:t>Upland cotton farmers who choose to enroll seed cotton base acres in ARC or PLC are ineligible for the stacked income protection plan (STAX) on their planted cotton acres for that farm. </w:t>
      </w:r>
      <w:r>
        <w:rPr>
          <w:rStyle w:val="m4294699905874302090xnormaltextrun"/>
          <w:rFonts w:ascii="Calibri" w:hAnsi="Calibri" w:cs="Calibri"/>
          <w:color w:val="000000"/>
        </w:rPr>
        <w:t> </w:t>
      </w:r>
      <w:r>
        <w:rPr>
          <w:rStyle w:val="m4294699905874302090xeop"/>
          <w:rFonts w:ascii="Calibri" w:hAnsi="Calibri" w:cs="Calibri"/>
          <w:color w:val="000000"/>
        </w:rPr>
        <w:t> </w:t>
      </w:r>
    </w:p>
    <w:p w14:paraId="2F147FC6" w14:textId="77777777"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b/>
          <w:bCs/>
          <w:color w:val="000000"/>
          <w:lang w:val="en"/>
        </w:rPr>
        <w:t>More Information</w:t>
      </w:r>
      <w:r>
        <w:rPr>
          <w:rStyle w:val="m4294699905874302090xnormaltextrun"/>
          <w:color w:val="000000"/>
          <w:lang w:val="en"/>
        </w:rPr>
        <w:t> </w:t>
      </w:r>
      <w:r>
        <w:rPr>
          <w:rStyle w:val="m4294699905874302090xnormaltextrun"/>
          <w:color w:val="000000"/>
        </w:rPr>
        <w:t> </w:t>
      </w:r>
      <w:r>
        <w:rPr>
          <w:rStyle w:val="m4294699905874302090xeop"/>
          <w:color w:val="000000"/>
        </w:rPr>
        <w:t> </w:t>
      </w:r>
    </w:p>
    <w:p w14:paraId="40768F25" w14:textId="366F81EF"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lang w:val="en"/>
        </w:rPr>
        <w:t>For more information on ARC and PLC, visit the </w:t>
      </w:r>
      <w:hyperlink r:id="rId13" w:history="1">
        <w:r w:rsidR="006C343F" w:rsidRPr="002A45DB">
          <w:rPr>
            <w:rStyle w:val="xnormaltextrun"/>
            <w:color w:val="0563C1"/>
            <w:lang w:val="en"/>
          </w:rPr>
          <w:t>ARC and PLC webpage</w:t>
        </w:r>
      </w:hyperlink>
      <w:r>
        <w:rPr>
          <w:rStyle w:val="m4294699905874302090xnormaltextrun"/>
          <w:color w:val="000000"/>
          <w:lang w:val="en"/>
        </w:rPr>
        <w:t> or contact your local </w:t>
      </w:r>
      <w:hyperlink r:id="rId14" w:tgtFrame="_blank" w:history="1">
        <w:r>
          <w:rPr>
            <w:rStyle w:val="m4294699905874302090xnormaltextrun"/>
            <w:color w:val="1155CC"/>
            <w:u w:val="single"/>
            <w:lang w:val="en"/>
          </w:rPr>
          <w:t>USDA Service Center</w:t>
        </w:r>
      </w:hyperlink>
      <w:r>
        <w:rPr>
          <w:rStyle w:val="m4294699905874302090xnormaltextrun"/>
          <w:color w:val="000000"/>
          <w:lang w:val="en"/>
        </w:rPr>
        <w:t>.</w:t>
      </w:r>
      <w:r>
        <w:rPr>
          <w:rStyle w:val="m4294699905874302090xeop"/>
          <w:color w:val="000000"/>
        </w:rPr>
        <w:t> </w:t>
      </w:r>
    </w:p>
    <w:p w14:paraId="1F5E4B78" w14:textId="2D246E2F" w:rsidR="002078C6" w:rsidRDefault="002078C6" w:rsidP="002078C6">
      <w:pPr>
        <w:pStyle w:val="m4294699905874302090xparagraph"/>
        <w:shd w:val="clear" w:color="auto" w:fill="FFFFFF"/>
        <w:spacing w:beforeAutospacing="0" w:after="0" w:afterAutospacing="0"/>
        <w:ind w:left="180"/>
        <w:textAlignment w:val="baseline"/>
        <w:rPr>
          <w:rFonts w:ascii="Calibri" w:hAnsi="Calibri" w:cs="Calibri"/>
          <w:color w:val="222222"/>
          <w:sz w:val="22"/>
          <w:szCs w:val="22"/>
        </w:rPr>
      </w:pPr>
      <w:r>
        <w:rPr>
          <w:rStyle w:val="m4294699905874302090xnormaltextrun"/>
          <w:color w:val="000000"/>
          <w:lang w:val="en"/>
        </w:rPr>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w:t>
      </w:r>
      <w:r>
        <w:rPr>
          <w:rStyle w:val="m4294699905874302090xnormaltextrun"/>
          <w:color w:val="000000"/>
          <w:lang w:val="en"/>
        </w:rPr>
        <w:lastRenderedPageBreak/>
        <w:t>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5" w:history="1">
        <w:r w:rsidR="00322886" w:rsidRPr="00322886">
          <w:rPr>
            <w:rStyle w:val="Hyperlink"/>
            <w:lang w:val="en"/>
          </w:rPr>
          <w:t>usda.gov</w:t>
        </w:r>
        <w:r w:rsidRPr="00322886">
          <w:rPr>
            <w:rStyle w:val="Hyperlink"/>
            <w:lang w:val="en"/>
          </w:rPr>
          <w:t>.</w:t>
        </w:r>
      </w:hyperlink>
      <w:r>
        <w:rPr>
          <w:rStyle w:val="m4294699905874302090xnormaltextrun"/>
          <w:color w:val="000000"/>
        </w:rPr>
        <w:t> </w:t>
      </w:r>
      <w:r>
        <w:rPr>
          <w:rStyle w:val="m4294699905874302090xeop"/>
          <w:color w:val="000000"/>
        </w:rPr>
        <w:t> </w:t>
      </w:r>
    </w:p>
    <w:p w14:paraId="3F8FE245" w14:textId="7F8209F0" w:rsidR="004E7F4A" w:rsidRPr="00BD5BAF" w:rsidRDefault="004E7F4A" w:rsidP="00322886">
      <w:pPr>
        <w:pStyle w:val="NormalWeb"/>
        <w:spacing w:beforeAutospacing="0" w:after="120" w:afterAutospacing="0"/>
        <w:jc w:val="center"/>
        <w:rPr>
          <w:rFonts w:eastAsia="Times New Roman"/>
          <w:sz w:val="22"/>
          <w:szCs w:val="22"/>
          <w:lang w:val="en"/>
        </w:rPr>
      </w:pPr>
      <w:r w:rsidRPr="00BD5BAF">
        <w:rPr>
          <w:rFonts w:eastAsia="Times New Roman"/>
          <w:sz w:val="22"/>
          <w:szCs w:val="22"/>
          <w:lang w:val="en"/>
        </w:rPr>
        <w:t>#</w:t>
      </w:r>
    </w:p>
    <w:p w14:paraId="0DE83F72" w14:textId="6D08AE4F" w:rsidR="004E7F4A" w:rsidRPr="00BD5BAF" w:rsidRDefault="004E7F4A" w:rsidP="004E7F4A">
      <w:pPr>
        <w:jc w:val="center"/>
        <w:rPr>
          <w:rFonts w:ascii="Times New Roman" w:hAnsi="Times New Roman" w:cs="Times New Roman"/>
          <w:i/>
          <w:sz w:val="22"/>
          <w:szCs w:val="22"/>
        </w:rPr>
      </w:pPr>
      <w:r w:rsidRPr="00BD5BAF">
        <w:rPr>
          <w:rFonts w:ascii="Times New Roman" w:hAnsi="Times New Roman" w:cs="Times New Roman"/>
          <w:i/>
          <w:iCs/>
          <w:sz w:val="22"/>
          <w:szCs w:val="22"/>
        </w:rPr>
        <w:t>USDA is an equal opportunity provider, employer</w:t>
      </w:r>
      <w:r w:rsidR="00FC794D">
        <w:rPr>
          <w:rFonts w:ascii="Times New Roman" w:hAnsi="Times New Roman" w:cs="Times New Roman"/>
          <w:i/>
          <w:iCs/>
          <w:sz w:val="22"/>
          <w:szCs w:val="22"/>
        </w:rPr>
        <w:t>,</w:t>
      </w:r>
      <w:r w:rsidRPr="00BD5BAF">
        <w:rPr>
          <w:rFonts w:ascii="Times New Roman" w:hAnsi="Times New Roman" w:cs="Times New Roman"/>
          <w:i/>
          <w:iCs/>
          <w:sz w:val="22"/>
          <w:szCs w:val="22"/>
        </w:rPr>
        <w:t xml:space="preserve"> and lender.</w:t>
      </w:r>
    </w:p>
    <w:p w14:paraId="0D6D2ECB" w14:textId="77777777" w:rsidR="004E7F4A" w:rsidRDefault="004E7F4A"/>
    <w:sectPr w:rsidR="004E7F4A" w:rsidSect="00414FC2">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06B65" w14:textId="77777777" w:rsidR="00495300" w:rsidRDefault="00495300">
      <w:r>
        <w:separator/>
      </w:r>
    </w:p>
  </w:endnote>
  <w:endnote w:type="continuationSeparator" w:id="0">
    <w:p w14:paraId="2B69E86B" w14:textId="77777777" w:rsidR="00495300" w:rsidRDefault="00495300">
      <w:r>
        <w:continuationSeparator/>
      </w:r>
    </w:p>
  </w:endnote>
  <w:endnote w:type="continuationNotice" w:id="1">
    <w:p w14:paraId="18546B53" w14:textId="77777777" w:rsidR="00495300" w:rsidRDefault="00495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532B" w14:textId="77777777" w:rsidR="00414FC2" w:rsidRDefault="00414FC2">
    <w:pPr>
      <w:pStyle w:val="Footer"/>
    </w:pPr>
  </w:p>
  <w:p w14:paraId="625D53D0" w14:textId="77777777" w:rsidR="00414FC2" w:rsidRDefault="0001717C">
    <w:pPr>
      <w:pStyle w:val="Footer"/>
    </w:pPr>
    <w:r>
      <w:rPr>
        <w:noProof/>
      </w:rPr>
      <w:drawing>
        <wp:anchor distT="0" distB="0" distL="114300" distR="114300" simplePos="0" relativeHeight="251658240" behindDoc="1" locked="0" layoutInCell="1" allowOverlap="1" wp14:anchorId="143F5C3E" wp14:editId="5DC284F9">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44EF2" w14:textId="77777777" w:rsidR="00495300" w:rsidRDefault="00495300">
      <w:r>
        <w:separator/>
      </w:r>
    </w:p>
  </w:footnote>
  <w:footnote w:type="continuationSeparator" w:id="0">
    <w:p w14:paraId="647F034A" w14:textId="77777777" w:rsidR="00495300" w:rsidRDefault="00495300">
      <w:r>
        <w:continuationSeparator/>
      </w:r>
    </w:p>
  </w:footnote>
  <w:footnote w:type="continuationNotice" w:id="1">
    <w:p w14:paraId="6B5F6AE2" w14:textId="77777777" w:rsidR="00495300" w:rsidRDefault="004953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41768"/>
    <w:multiLevelType w:val="hybridMultilevel"/>
    <w:tmpl w:val="FFFFFFFF"/>
    <w:lvl w:ilvl="0" w:tplc="263E600E">
      <w:start w:val="1"/>
      <w:numFmt w:val="bullet"/>
      <w:lvlText w:val=""/>
      <w:lvlJc w:val="left"/>
      <w:pPr>
        <w:ind w:left="720" w:hanging="360"/>
      </w:pPr>
      <w:rPr>
        <w:rFonts w:ascii="Symbol" w:hAnsi="Symbol" w:hint="default"/>
      </w:rPr>
    </w:lvl>
    <w:lvl w:ilvl="1" w:tplc="69C291FE">
      <w:start w:val="1"/>
      <w:numFmt w:val="bullet"/>
      <w:lvlText w:val="o"/>
      <w:lvlJc w:val="left"/>
      <w:pPr>
        <w:ind w:left="1440" w:hanging="360"/>
      </w:pPr>
      <w:rPr>
        <w:rFonts w:ascii="Courier New" w:hAnsi="Courier New" w:hint="default"/>
      </w:rPr>
    </w:lvl>
    <w:lvl w:ilvl="2" w:tplc="409C0796">
      <w:start w:val="1"/>
      <w:numFmt w:val="bullet"/>
      <w:lvlText w:val=""/>
      <w:lvlJc w:val="left"/>
      <w:pPr>
        <w:ind w:left="2160" w:hanging="360"/>
      </w:pPr>
      <w:rPr>
        <w:rFonts w:ascii="Wingdings" w:hAnsi="Wingdings" w:hint="default"/>
      </w:rPr>
    </w:lvl>
    <w:lvl w:ilvl="3" w:tplc="415A9034">
      <w:start w:val="1"/>
      <w:numFmt w:val="bullet"/>
      <w:lvlText w:val=""/>
      <w:lvlJc w:val="left"/>
      <w:pPr>
        <w:ind w:left="2880" w:hanging="360"/>
      </w:pPr>
      <w:rPr>
        <w:rFonts w:ascii="Symbol" w:hAnsi="Symbol" w:hint="default"/>
      </w:rPr>
    </w:lvl>
    <w:lvl w:ilvl="4" w:tplc="7F704EDE">
      <w:start w:val="1"/>
      <w:numFmt w:val="bullet"/>
      <w:lvlText w:val="o"/>
      <w:lvlJc w:val="left"/>
      <w:pPr>
        <w:ind w:left="3600" w:hanging="360"/>
      </w:pPr>
      <w:rPr>
        <w:rFonts w:ascii="Courier New" w:hAnsi="Courier New" w:hint="default"/>
      </w:rPr>
    </w:lvl>
    <w:lvl w:ilvl="5" w:tplc="0EA29AD6">
      <w:start w:val="1"/>
      <w:numFmt w:val="bullet"/>
      <w:lvlText w:val=""/>
      <w:lvlJc w:val="left"/>
      <w:pPr>
        <w:ind w:left="4320" w:hanging="360"/>
      </w:pPr>
      <w:rPr>
        <w:rFonts w:ascii="Wingdings" w:hAnsi="Wingdings" w:hint="default"/>
      </w:rPr>
    </w:lvl>
    <w:lvl w:ilvl="6" w:tplc="794024B6">
      <w:start w:val="1"/>
      <w:numFmt w:val="bullet"/>
      <w:lvlText w:val=""/>
      <w:lvlJc w:val="left"/>
      <w:pPr>
        <w:ind w:left="5040" w:hanging="360"/>
      </w:pPr>
      <w:rPr>
        <w:rFonts w:ascii="Symbol" w:hAnsi="Symbol" w:hint="default"/>
      </w:rPr>
    </w:lvl>
    <w:lvl w:ilvl="7" w:tplc="DACC4928">
      <w:start w:val="1"/>
      <w:numFmt w:val="bullet"/>
      <w:lvlText w:val="o"/>
      <w:lvlJc w:val="left"/>
      <w:pPr>
        <w:ind w:left="5760" w:hanging="360"/>
      </w:pPr>
      <w:rPr>
        <w:rFonts w:ascii="Courier New" w:hAnsi="Courier New" w:hint="default"/>
      </w:rPr>
    </w:lvl>
    <w:lvl w:ilvl="8" w:tplc="053E9334">
      <w:start w:val="1"/>
      <w:numFmt w:val="bullet"/>
      <w:lvlText w:val=""/>
      <w:lvlJc w:val="left"/>
      <w:pPr>
        <w:ind w:left="6480" w:hanging="360"/>
      </w:pPr>
      <w:rPr>
        <w:rFonts w:ascii="Wingdings" w:hAnsi="Wingdings" w:hint="default"/>
      </w:rPr>
    </w:lvl>
  </w:abstractNum>
  <w:abstractNum w:abstractNumId="1" w15:restartNumberingAfterBreak="0">
    <w:nsid w:val="337542E8"/>
    <w:multiLevelType w:val="hybridMultilevel"/>
    <w:tmpl w:val="FFFFFFFF"/>
    <w:lvl w:ilvl="0" w:tplc="0BBA3B60">
      <w:start w:val="1"/>
      <w:numFmt w:val="bullet"/>
      <w:lvlText w:val=""/>
      <w:lvlJc w:val="left"/>
      <w:pPr>
        <w:ind w:left="720" w:hanging="360"/>
      </w:pPr>
      <w:rPr>
        <w:rFonts w:ascii="Symbol" w:hAnsi="Symbol" w:hint="default"/>
      </w:rPr>
    </w:lvl>
    <w:lvl w:ilvl="1" w:tplc="43163554">
      <w:start w:val="1"/>
      <w:numFmt w:val="bullet"/>
      <w:lvlText w:val="o"/>
      <w:lvlJc w:val="left"/>
      <w:pPr>
        <w:ind w:left="1440" w:hanging="360"/>
      </w:pPr>
      <w:rPr>
        <w:rFonts w:ascii="Courier New" w:hAnsi="Courier New" w:hint="default"/>
      </w:rPr>
    </w:lvl>
    <w:lvl w:ilvl="2" w:tplc="49A46E46">
      <w:start w:val="1"/>
      <w:numFmt w:val="bullet"/>
      <w:lvlText w:val=""/>
      <w:lvlJc w:val="left"/>
      <w:pPr>
        <w:ind w:left="2160" w:hanging="360"/>
      </w:pPr>
      <w:rPr>
        <w:rFonts w:ascii="Wingdings" w:hAnsi="Wingdings" w:hint="default"/>
      </w:rPr>
    </w:lvl>
    <w:lvl w:ilvl="3" w:tplc="F2CC01F8">
      <w:start w:val="1"/>
      <w:numFmt w:val="bullet"/>
      <w:lvlText w:val=""/>
      <w:lvlJc w:val="left"/>
      <w:pPr>
        <w:ind w:left="2880" w:hanging="360"/>
      </w:pPr>
      <w:rPr>
        <w:rFonts w:ascii="Symbol" w:hAnsi="Symbol" w:hint="default"/>
      </w:rPr>
    </w:lvl>
    <w:lvl w:ilvl="4" w:tplc="C1C2DE58">
      <w:start w:val="1"/>
      <w:numFmt w:val="bullet"/>
      <w:lvlText w:val="o"/>
      <w:lvlJc w:val="left"/>
      <w:pPr>
        <w:ind w:left="3600" w:hanging="360"/>
      </w:pPr>
      <w:rPr>
        <w:rFonts w:ascii="Courier New" w:hAnsi="Courier New" w:hint="default"/>
      </w:rPr>
    </w:lvl>
    <w:lvl w:ilvl="5" w:tplc="656EB66E">
      <w:start w:val="1"/>
      <w:numFmt w:val="bullet"/>
      <w:lvlText w:val=""/>
      <w:lvlJc w:val="left"/>
      <w:pPr>
        <w:ind w:left="4320" w:hanging="360"/>
      </w:pPr>
      <w:rPr>
        <w:rFonts w:ascii="Wingdings" w:hAnsi="Wingdings" w:hint="default"/>
      </w:rPr>
    </w:lvl>
    <w:lvl w:ilvl="6" w:tplc="50CABB20">
      <w:start w:val="1"/>
      <w:numFmt w:val="bullet"/>
      <w:lvlText w:val=""/>
      <w:lvlJc w:val="left"/>
      <w:pPr>
        <w:ind w:left="5040" w:hanging="360"/>
      </w:pPr>
      <w:rPr>
        <w:rFonts w:ascii="Symbol" w:hAnsi="Symbol" w:hint="default"/>
      </w:rPr>
    </w:lvl>
    <w:lvl w:ilvl="7" w:tplc="38F0B4C4">
      <w:start w:val="1"/>
      <w:numFmt w:val="bullet"/>
      <w:lvlText w:val="o"/>
      <w:lvlJc w:val="left"/>
      <w:pPr>
        <w:ind w:left="5760" w:hanging="360"/>
      </w:pPr>
      <w:rPr>
        <w:rFonts w:ascii="Courier New" w:hAnsi="Courier New" w:hint="default"/>
      </w:rPr>
    </w:lvl>
    <w:lvl w:ilvl="8" w:tplc="6FD6C6CA">
      <w:start w:val="1"/>
      <w:numFmt w:val="bullet"/>
      <w:lvlText w:val=""/>
      <w:lvlJc w:val="left"/>
      <w:pPr>
        <w:ind w:left="6480" w:hanging="360"/>
      </w:pPr>
      <w:rPr>
        <w:rFonts w:ascii="Wingdings" w:hAnsi="Wingdings" w:hint="default"/>
      </w:rPr>
    </w:lvl>
  </w:abstractNum>
  <w:abstractNum w:abstractNumId="2" w15:restartNumberingAfterBreak="0">
    <w:nsid w:val="40385C7D"/>
    <w:multiLevelType w:val="multilevel"/>
    <w:tmpl w:val="CCFC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A1FB8"/>
    <w:multiLevelType w:val="hybridMultilevel"/>
    <w:tmpl w:val="0B40D23E"/>
    <w:lvl w:ilvl="0" w:tplc="0D9C7C4E">
      <w:start w:val="1"/>
      <w:numFmt w:val="bullet"/>
      <w:lvlText w:val=""/>
      <w:lvlJc w:val="left"/>
      <w:pPr>
        <w:ind w:left="720" w:hanging="360"/>
      </w:pPr>
      <w:rPr>
        <w:rFonts w:ascii="Symbol" w:hAnsi="Symbol" w:hint="default"/>
      </w:rPr>
    </w:lvl>
    <w:lvl w:ilvl="1" w:tplc="3992EFC2">
      <w:start w:val="1"/>
      <w:numFmt w:val="bullet"/>
      <w:lvlText w:val="o"/>
      <w:lvlJc w:val="left"/>
      <w:pPr>
        <w:ind w:left="1440" w:hanging="360"/>
      </w:pPr>
      <w:rPr>
        <w:rFonts w:ascii="Courier New" w:hAnsi="Courier New" w:hint="default"/>
      </w:rPr>
    </w:lvl>
    <w:lvl w:ilvl="2" w:tplc="8500C4C0">
      <w:start w:val="1"/>
      <w:numFmt w:val="bullet"/>
      <w:lvlText w:val=""/>
      <w:lvlJc w:val="left"/>
      <w:pPr>
        <w:ind w:left="2160" w:hanging="360"/>
      </w:pPr>
      <w:rPr>
        <w:rFonts w:ascii="Wingdings" w:hAnsi="Wingdings" w:hint="default"/>
      </w:rPr>
    </w:lvl>
    <w:lvl w:ilvl="3" w:tplc="87BA5E94">
      <w:start w:val="1"/>
      <w:numFmt w:val="bullet"/>
      <w:lvlText w:val=""/>
      <w:lvlJc w:val="left"/>
      <w:pPr>
        <w:ind w:left="2880" w:hanging="360"/>
      </w:pPr>
      <w:rPr>
        <w:rFonts w:ascii="Symbol" w:hAnsi="Symbol" w:hint="default"/>
      </w:rPr>
    </w:lvl>
    <w:lvl w:ilvl="4" w:tplc="CB10B002">
      <w:start w:val="1"/>
      <w:numFmt w:val="bullet"/>
      <w:lvlText w:val="o"/>
      <w:lvlJc w:val="left"/>
      <w:pPr>
        <w:ind w:left="3600" w:hanging="360"/>
      </w:pPr>
      <w:rPr>
        <w:rFonts w:ascii="Courier New" w:hAnsi="Courier New" w:hint="default"/>
      </w:rPr>
    </w:lvl>
    <w:lvl w:ilvl="5" w:tplc="F0D6FD1C">
      <w:start w:val="1"/>
      <w:numFmt w:val="bullet"/>
      <w:lvlText w:val=""/>
      <w:lvlJc w:val="left"/>
      <w:pPr>
        <w:ind w:left="4320" w:hanging="360"/>
      </w:pPr>
      <w:rPr>
        <w:rFonts w:ascii="Wingdings" w:hAnsi="Wingdings" w:hint="default"/>
      </w:rPr>
    </w:lvl>
    <w:lvl w:ilvl="6" w:tplc="AA609AB2">
      <w:start w:val="1"/>
      <w:numFmt w:val="bullet"/>
      <w:lvlText w:val=""/>
      <w:lvlJc w:val="left"/>
      <w:pPr>
        <w:ind w:left="5040" w:hanging="360"/>
      </w:pPr>
      <w:rPr>
        <w:rFonts w:ascii="Symbol" w:hAnsi="Symbol" w:hint="default"/>
      </w:rPr>
    </w:lvl>
    <w:lvl w:ilvl="7" w:tplc="1DE2E9EE">
      <w:start w:val="1"/>
      <w:numFmt w:val="bullet"/>
      <w:lvlText w:val="o"/>
      <w:lvlJc w:val="left"/>
      <w:pPr>
        <w:ind w:left="5760" w:hanging="360"/>
      </w:pPr>
      <w:rPr>
        <w:rFonts w:ascii="Courier New" w:hAnsi="Courier New" w:hint="default"/>
      </w:rPr>
    </w:lvl>
    <w:lvl w:ilvl="8" w:tplc="DF707BD8">
      <w:start w:val="1"/>
      <w:numFmt w:val="bullet"/>
      <w:lvlText w:val=""/>
      <w:lvlJc w:val="left"/>
      <w:pPr>
        <w:ind w:left="6480" w:hanging="360"/>
      </w:pPr>
      <w:rPr>
        <w:rFonts w:ascii="Wingdings" w:hAnsi="Wingdings" w:hint="default"/>
      </w:rPr>
    </w:lvl>
  </w:abstractNum>
  <w:abstractNum w:abstractNumId="4" w15:restartNumberingAfterBreak="0">
    <w:nsid w:val="77F66878"/>
    <w:multiLevelType w:val="hybridMultilevel"/>
    <w:tmpl w:val="5DA2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64910"/>
    <w:multiLevelType w:val="hybridMultilevel"/>
    <w:tmpl w:val="071E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4A"/>
    <w:rsid w:val="00000970"/>
    <w:rsid w:val="000145E1"/>
    <w:rsid w:val="0001717C"/>
    <w:rsid w:val="00055017"/>
    <w:rsid w:val="000569E6"/>
    <w:rsid w:val="00087F36"/>
    <w:rsid w:val="000A1769"/>
    <w:rsid w:val="000C5106"/>
    <w:rsid w:val="000D5295"/>
    <w:rsid w:val="000E6879"/>
    <w:rsid w:val="00105AB3"/>
    <w:rsid w:val="00111672"/>
    <w:rsid w:val="0012170A"/>
    <w:rsid w:val="001243A5"/>
    <w:rsid w:val="001404B6"/>
    <w:rsid w:val="00174AF0"/>
    <w:rsid w:val="001B2ABE"/>
    <w:rsid w:val="001B3001"/>
    <w:rsid w:val="001C0FC6"/>
    <w:rsid w:val="001D527E"/>
    <w:rsid w:val="001F2677"/>
    <w:rsid w:val="001F399E"/>
    <w:rsid w:val="001F7575"/>
    <w:rsid w:val="002075E2"/>
    <w:rsid w:val="002078C6"/>
    <w:rsid w:val="00235C6E"/>
    <w:rsid w:val="0026398D"/>
    <w:rsid w:val="00265DD9"/>
    <w:rsid w:val="002710FA"/>
    <w:rsid w:val="0027182C"/>
    <w:rsid w:val="002858C9"/>
    <w:rsid w:val="0028721B"/>
    <w:rsid w:val="002A3C4E"/>
    <w:rsid w:val="002A775D"/>
    <w:rsid w:val="002B604D"/>
    <w:rsid w:val="002F72F0"/>
    <w:rsid w:val="00322886"/>
    <w:rsid w:val="00323148"/>
    <w:rsid w:val="003250B2"/>
    <w:rsid w:val="00336503"/>
    <w:rsid w:val="00352D4C"/>
    <w:rsid w:val="00357E03"/>
    <w:rsid w:val="00383AD4"/>
    <w:rsid w:val="003E2ECD"/>
    <w:rsid w:val="003F2CE9"/>
    <w:rsid w:val="00402B6E"/>
    <w:rsid w:val="00403F44"/>
    <w:rsid w:val="0040548F"/>
    <w:rsid w:val="00413D56"/>
    <w:rsid w:val="00414FC2"/>
    <w:rsid w:val="004269C2"/>
    <w:rsid w:val="00436B3B"/>
    <w:rsid w:val="004615F7"/>
    <w:rsid w:val="00464D65"/>
    <w:rsid w:val="00477850"/>
    <w:rsid w:val="004933E2"/>
    <w:rsid w:val="00495300"/>
    <w:rsid w:val="004E343B"/>
    <w:rsid w:val="004E7835"/>
    <w:rsid w:val="004E7F4A"/>
    <w:rsid w:val="004F1284"/>
    <w:rsid w:val="004F3D76"/>
    <w:rsid w:val="00505A17"/>
    <w:rsid w:val="00517D76"/>
    <w:rsid w:val="005604D3"/>
    <w:rsid w:val="00573888"/>
    <w:rsid w:val="00575490"/>
    <w:rsid w:val="005816CB"/>
    <w:rsid w:val="005A21AE"/>
    <w:rsid w:val="005C1BFC"/>
    <w:rsid w:val="00617937"/>
    <w:rsid w:val="00633B9C"/>
    <w:rsid w:val="00664B7B"/>
    <w:rsid w:val="00686CCA"/>
    <w:rsid w:val="00691DFF"/>
    <w:rsid w:val="00695BA7"/>
    <w:rsid w:val="006C343F"/>
    <w:rsid w:val="006D1608"/>
    <w:rsid w:val="006E45E6"/>
    <w:rsid w:val="007248BD"/>
    <w:rsid w:val="00734A99"/>
    <w:rsid w:val="00763EED"/>
    <w:rsid w:val="0076568A"/>
    <w:rsid w:val="007956A9"/>
    <w:rsid w:val="007B1675"/>
    <w:rsid w:val="007B16BF"/>
    <w:rsid w:val="007B41E6"/>
    <w:rsid w:val="007F2C3E"/>
    <w:rsid w:val="0082280F"/>
    <w:rsid w:val="00843916"/>
    <w:rsid w:val="008B17A0"/>
    <w:rsid w:val="008B71D7"/>
    <w:rsid w:val="008D33B3"/>
    <w:rsid w:val="008F6E33"/>
    <w:rsid w:val="00915229"/>
    <w:rsid w:val="00931C08"/>
    <w:rsid w:val="00946001"/>
    <w:rsid w:val="0095099B"/>
    <w:rsid w:val="00960B0F"/>
    <w:rsid w:val="00984E32"/>
    <w:rsid w:val="009C5721"/>
    <w:rsid w:val="009D5B49"/>
    <w:rsid w:val="00A16986"/>
    <w:rsid w:val="00A63A94"/>
    <w:rsid w:val="00A73074"/>
    <w:rsid w:val="00A877C9"/>
    <w:rsid w:val="00A9357E"/>
    <w:rsid w:val="00A96944"/>
    <w:rsid w:val="00AC1340"/>
    <w:rsid w:val="00AD10F4"/>
    <w:rsid w:val="00AD4977"/>
    <w:rsid w:val="00AF4E69"/>
    <w:rsid w:val="00AF69DF"/>
    <w:rsid w:val="00B00ABD"/>
    <w:rsid w:val="00B159EA"/>
    <w:rsid w:val="00B24BA4"/>
    <w:rsid w:val="00B363C9"/>
    <w:rsid w:val="00B473C9"/>
    <w:rsid w:val="00B8306E"/>
    <w:rsid w:val="00B835E1"/>
    <w:rsid w:val="00B85C7A"/>
    <w:rsid w:val="00B94C90"/>
    <w:rsid w:val="00B96DD8"/>
    <w:rsid w:val="00BA235C"/>
    <w:rsid w:val="00BB29B7"/>
    <w:rsid w:val="00BB7DC0"/>
    <w:rsid w:val="00BF143D"/>
    <w:rsid w:val="00C06C5F"/>
    <w:rsid w:val="00C103C9"/>
    <w:rsid w:val="00C164B3"/>
    <w:rsid w:val="00C36D19"/>
    <w:rsid w:val="00C42B91"/>
    <w:rsid w:val="00C44FD8"/>
    <w:rsid w:val="00C45519"/>
    <w:rsid w:val="00C4697A"/>
    <w:rsid w:val="00C5590B"/>
    <w:rsid w:val="00C5703B"/>
    <w:rsid w:val="00C72847"/>
    <w:rsid w:val="00CA2BAC"/>
    <w:rsid w:val="00CB3664"/>
    <w:rsid w:val="00CC0AC5"/>
    <w:rsid w:val="00CC466C"/>
    <w:rsid w:val="00CD0BB0"/>
    <w:rsid w:val="00CE1A2F"/>
    <w:rsid w:val="00D34C70"/>
    <w:rsid w:val="00D40C6A"/>
    <w:rsid w:val="00D52AEF"/>
    <w:rsid w:val="00D8542C"/>
    <w:rsid w:val="00D87064"/>
    <w:rsid w:val="00D93441"/>
    <w:rsid w:val="00D96F63"/>
    <w:rsid w:val="00DA3ADB"/>
    <w:rsid w:val="00DE7554"/>
    <w:rsid w:val="00DF3498"/>
    <w:rsid w:val="00E01021"/>
    <w:rsid w:val="00E25E93"/>
    <w:rsid w:val="00E33B81"/>
    <w:rsid w:val="00E62885"/>
    <w:rsid w:val="00E734A4"/>
    <w:rsid w:val="00E87A60"/>
    <w:rsid w:val="00E9573F"/>
    <w:rsid w:val="00EB0A50"/>
    <w:rsid w:val="00EB2D34"/>
    <w:rsid w:val="00EB394D"/>
    <w:rsid w:val="00ED4172"/>
    <w:rsid w:val="00F45D14"/>
    <w:rsid w:val="00F5440B"/>
    <w:rsid w:val="00F54E50"/>
    <w:rsid w:val="00F57AB9"/>
    <w:rsid w:val="00F628A9"/>
    <w:rsid w:val="00F9019A"/>
    <w:rsid w:val="00FA08FC"/>
    <w:rsid w:val="00FB6C58"/>
    <w:rsid w:val="00FC050D"/>
    <w:rsid w:val="00FC0C14"/>
    <w:rsid w:val="00FC19A2"/>
    <w:rsid w:val="00FC6A9C"/>
    <w:rsid w:val="00FC794D"/>
    <w:rsid w:val="00FE359A"/>
    <w:rsid w:val="023A121F"/>
    <w:rsid w:val="0418FC80"/>
    <w:rsid w:val="07564716"/>
    <w:rsid w:val="075CDB19"/>
    <w:rsid w:val="092DC889"/>
    <w:rsid w:val="098EDE94"/>
    <w:rsid w:val="0B7D5E9E"/>
    <w:rsid w:val="0BFAC1E9"/>
    <w:rsid w:val="0EF45DF5"/>
    <w:rsid w:val="106E9071"/>
    <w:rsid w:val="10F97CCE"/>
    <w:rsid w:val="11C3ED3C"/>
    <w:rsid w:val="127A38FB"/>
    <w:rsid w:val="15529213"/>
    <w:rsid w:val="164B8BC6"/>
    <w:rsid w:val="179F4CBF"/>
    <w:rsid w:val="1901C163"/>
    <w:rsid w:val="195C6F2A"/>
    <w:rsid w:val="199EBC97"/>
    <w:rsid w:val="1AE3BF9D"/>
    <w:rsid w:val="1C2DF008"/>
    <w:rsid w:val="1C4DB435"/>
    <w:rsid w:val="1E3D767E"/>
    <w:rsid w:val="205627A2"/>
    <w:rsid w:val="20AF4DEE"/>
    <w:rsid w:val="21B1BC02"/>
    <w:rsid w:val="2210544A"/>
    <w:rsid w:val="2310B432"/>
    <w:rsid w:val="234D8C63"/>
    <w:rsid w:val="2400170D"/>
    <w:rsid w:val="2491D419"/>
    <w:rsid w:val="2820FD86"/>
    <w:rsid w:val="295BDD18"/>
    <w:rsid w:val="2A61AB80"/>
    <w:rsid w:val="2B589E48"/>
    <w:rsid w:val="2C8C72A3"/>
    <w:rsid w:val="2CF46EA9"/>
    <w:rsid w:val="2D8DD0F6"/>
    <w:rsid w:val="2DE8319C"/>
    <w:rsid w:val="301D644A"/>
    <w:rsid w:val="3056AF0D"/>
    <w:rsid w:val="32BBA2BF"/>
    <w:rsid w:val="3442E390"/>
    <w:rsid w:val="35DA1B24"/>
    <w:rsid w:val="36622E21"/>
    <w:rsid w:val="36CD3244"/>
    <w:rsid w:val="380C7E08"/>
    <w:rsid w:val="38C9AC75"/>
    <w:rsid w:val="38CF6AA4"/>
    <w:rsid w:val="3AE4BAEF"/>
    <w:rsid w:val="3BCD559C"/>
    <w:rsid w:val="3D4DC2FA"/>
    <w:rsid w:val="3FF4F32A"/>
    <w:rsid w:val="401A5FB7"/>
    <w:rsid w:val="402F64C7"/>
    <w:rsid w:val="41B63018"/>
    <w:rsid w:val="42B89E2C"/>
    <w:rsid w:val="44DC315C"/>
    <w:rsid w:val="44EDD0DA"/>
    <w:rsid w:val="45D7B721"/>
    <w:rsid w:val="46DD4BD4"/>
    <w:rsid w:val="4A2951A5"/>
    <w:rsid w:val="4A3B4A55"/>
    <w:rsid w:val="4B676E7A"/>
    <w:rsid w:val="4C50D551"/>
    <w:rsid w:val="4E162807"/>
    <w:rsid w:val="4FC8B23D"/>
    <w:rsid w:val="5013A1F2"/>
    <w:rsid w:val="5112A6F6"/>
    <w:rsid w:val="51487E70"/>
    <w:rsid w:val="53D553C9"/>
    <w:rsid w:val="544A47B8"/>
    <w:rsid w:val="54650E44"/>
    <w:rsid w:val="547CBE6B"/>
    <w:rsid w:val="54D4C384"/>
    <w:rsid w:val="54F070F7"/>
    <w:rsid w:val="55273396"/>
    <w:rsid w:val="57E1F5AC"/>
    <w:rsid w:val="5A7FFA31"/>
    <w:rsid w:val="5AA060DF"/>
    <w:rsid w:val="5FD2BE45"/>
    <w:rsid w:val="61F1A0BB"/>
    <w:rsid w:val="646CA2FE"/>
    <w:rsid w:val="6587EA68"/>
    <w:rsid w:val="66CAA350"/>
    <w:rsid w:val="6965834E"/>
    <w:rsid w:val="6A963214"/>
    <w:rsid w:val="6D6E5022"/>
    <w:rsid w:val="77D978B3"/>
    <w:rsid w:val="785433FB"/>
    <w:rsid w:val="78A257A8"/>
    <w:rsid w:val="7A0B72A8"/>
    <w:rsid w:val="7B350B18"/>
    <w:rsid w:val="7C5B2FBF"/>
    <w:rsid w:val="7CB5A35A"/>
    <w:rsid w:val="7D04A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6544"/>
  <w15:chartTrackingRefBased/>
  <w15:docId w15:val="{32EE655C-5E70-4734-87CA-4E45E8A2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4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F4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E7F4A"/>
    <w:rPr>
      <w:color w:val="0563C1" w:themeColor="hyperlink"/>
      <w:u w:val="single"/>
    </w:rPr>
  </w:style>
  <w:style w:type="paragraph" w:styleId="Footer">
    <w:name w:val="footer"/>
    <w:basedOn w:val="Normal"/>
    <w:link w:val="FooterChar"/>
    <w:uiPriority w:val="99"/>
    <w:unhideWhenUsed/>
    <w:rsid w:val="004E7F4A"/>
    <w:pPr>
      <w:tabs>
        <w:tab w:val="center" w:pos="4680"/>
        <w:tab w:val="right" w:pos="9360"/>
      </w:tabs>
    </w:pPr>
  </w:style>
  <w:style w:type="character" w:customStyle="1" w:styleId="FooterChar">
    <w:name w:val="Footer Char"/>
    <w:basedOn w:val="DefaultParagraphFont"/>
    <w:link w:val="Footer"/>
    <w:uiPriority w:val="99"/>
    <w:rsid w:val="004E7F4A"/>
    <w:rPr>
      <w:rFonts w:eastAsiaTheme="minorEastAsia"/>
      <w:sz w:val="24"/>
      <w:szCs w:val="24"/>
    </w:rPr>
  </w:style>
  <w:style w:type="character" w:styleId="Strong">
    <w:name w:val="Strong"/>
    <w:basedOn w:val="DefaultParagraphFont"/>
    <w:uiPriority w:val="22"/>
    <w:qFormat/>
    <w:rsid w:val="004E7F4A"/>
    <w:rPr>
      <w:b/>
      <w:bCs/>
    </w:rPr>
  </w:style>
  <w:style w:type="paragraph" w:customStyle="1" w:styleId="paragraph">
    <w:name w:val="paragraph"/>
    <w:basedOn w:val="Normal"/>
    <w:uiPriority w:val="99"/>
    <w:rsid w:val="004E7F4A"/>
    <w:rPr>
      <w:rFonts w:ascii="Times New Roman" w:eastAsia="Times New Roman" w:hAnsi="Times New Roman" w:cs="Times New Roman"/>
    </w:rPr>
  </w:style>
  <w:style w:type="character" w:customStyle="1" w:styleId="normaltextrun1">
    <w:name w:val="normaltextrun1"/>
    <w:basedOn w:val="DefaultParagraphFont"/>
    <w:rsid w:val="004E7F4A"/>
  </w:style>
  <w:style w:type="character" w:styleId="CommentReference">
    <w:name w:val="annotation reference"/>
    <w:basedOn w:val="DefaultParagraphFont"/>
    <w:uiPriority w:val="99"/>
    <w:semiHidden/>
    <w:unhideWhenUsed/>
    <w:rsid w:val="001404B6"/>
    <w:rPr>
      <w:sz w:val="16"/>
      <w:szCs w:val="16"/>
    </w:rPr>
  </w:style>
  <w:style w:type="paragraph" w:styleId="CommentText">
    <w:name w:val="annotation text"/>
    <w:basedOn w:val="Normal"/>
    <w:link w:val="CommentTextChar"/>
    <w:uiPriority w:val="99"/>
    <w:semiHidden/>
    <w:unhideWhenUsed/>
    <w:rsid w:val="001404B6"/>
    <w:rPr>
      <w:sz w:val="20"/>
      <w:szCs w:val="20"/>
    </w:rPr>
  </w:style>
  <w:style w:type="character" w:customStyle="1" w:styleId="CommentTextChar">
    <w:name w:val="Comment Text Char"/>
    <w:basedOn w:val="DefaultParagraphFont"/>
    <w:link w:val="CommentText"/>
    <w:uiPriority w:val="99"/>
    <w:semiHidden/>
    <w:rsid w:val="001404B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404B6"/>
    <w:rPr>
      <w:b/>
      <w:bCs/>
    </w:rPr>
  </w:style>
  <w:style w:type="character" w:customStyle="1" w:styleId="CommentSubjectChar">
    <w:name w:val="Comment Subject Char"/>
    <w:basedOn w:val="CommentTextChar"/>
    <w:link w:val="CommentSubject"/>
    <w:uiPriority w:val="99"/>
    <w:semiHidden/>
    <w:rsid w:val="001404B6"/>
    <w:rPr>
      <w:rFonts w:eastAsiaTheme="minorEastAsia"/>
      <w:b/>
      <w:bCs/>
      <w:sz w:val="20"/>
      <w:szCs w:val="20"/>
    </w:rPr>
  </w:style>
  <w:style w:type="table" w:styleId="TableGrid">
    <w:name w:val="Table Grid"/>
    <w:basedOn w:val="TableNormal"/>
    <w:uiPriority w:val="39"/>
    <w:rsid w:val="00CC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2280F"/>
    <w:rPr>
      <w:color w:val="605E5C"/>
      <w:shd w:val="clear" w:color="auto" w:fill="E1DFDD"/>
    </w:rPr>
  </w:style>
  <w:style w:type="paragraph" w:styleId="ListParagraph">
    <w:name w:val="List Paragraph"/>
    <w:basedOn w:val="Normal"/>
    <w:uiPriority w:val="34"/>
    <w:qFormat/>
    <w:rsid w:val="0082280F"/>
    <w:pPr>
      <w:ind w:left="720"/>
      <w:contextualSpacing/>
    </w:pPr>
  </w:style>
  <w:style w:type="paragraph" w:styleId="Header">
    <w:name w:val="header"/>
    <w:basedOn w:val="Normal"/>
    <w:link w:val="HeaderChar"/>
    <w:uiPriority w:val="99"/>
    <w:semiHidden/>
    <w:unhideWhenUsed/>
    <w:rsid w:val="008D33B3"/>
    <w:pPr>
      <w:tabs>
        <w:tab w:val="center" w:pos="4680"/>
        <w:tab w:val="right" w:pos="9360"/>
      </w:tabs>
    </w:pPr>
  </w:style>
  <w:style w:type="character" w:customStyle="1" w:styleId="HeaderChar">
    <w:name w:val="Header Char"/>
    <w:basedOn w:val="DefaultParagraphFont"/>
    <w:link w:val="Header"/>
    <w:uiPriority w:val="99"/>
    <w:semiHidden/>
    <w:rsid w:val="008D33B3"/>
    <w:rPr>
      <w:rFonts w:eastAsiaTheme="minorEastAsia"/>
      <w:sz w:val="24"/>
      <w:szCs w:val="24"/>
    </w:rPr>
  </w:style>
  <w:style w:type="character" w:styleId="Mention">
    <w:name w:val="Mention"/>
    <w:basedOn w:val="DefaultParagraphFont"/>
    <w:uiPriority w:val="99"/>
    <w:unhideWhenUsed/>
    <w:rsid w:val="00B835E1"/>
    <w:rPr>
      <w:color w:val="2B579A"/>
      <w:shd w:val="clear" w:color="auto" w:fill="E1DFDD"/>
    </w:rPr>
  </w:style>
  <w:style w:type="character" w:styleId="FollowedHyperlink">
    <w:name w:val="FollowedHyperlink"/>
    <w:basedOn w:val="DefaultParagraphFont"/>
    <w:uiPriority w:val="99"/>
    <w:semiHidden/>
    <w:unhideWhenUsed/>
    <w:rsid w:val="00E01021"/>
    <w:rPr>
      <w:color w:val="954F72" w:themeColor="followedHyperlink"/>
      <w:u w:val="single"/>
    </w:rPr>
  </w:style>
  <w:style w:type="paragraph" w:customStyle="1" w:styleId="xparagraph">
    <w:name w:val="x_paragraph"/>
    <w:basedOn w:val="Normal"/>
    <w:rsid w:val="00105AB3"/>
    <w:pPr>
      <w:spacing w:before="100" w:beforeAutospacing="1" w:after="100" w:afterAutospacing="1"/>
    </w:pPr>
    <w:rPr>
      <w:rFonts w:ascii="Times New Roman" w:eastAsiaTheme="minorHAnsi" w:hAnsi="Times New Roman" w:cs="Times New Roman"/>
    </w:rPr>
  </w:style>
  <w:style w:type="character" w:customStyle="1" w:styleId="xnormaltextrun">
    <w:name w:val="x_normaltextrun"/>
    <w:basedOn w:val="DefaultParagraphFont"/>
    <w:rsid w:val="00105AB3"/>
  </w:style>
  <w:style w:type="character" w:customStyle="1" w:styleId="xeop">
    <w:name w:val="x_eop"/>
    <w:basedOn w:val="DefaultParagraphFont"/>
    <w:rsid w:val="00105AB3"/>
  </w:style>
  <w:style w:type="character" w:customStyle="1" w:styleId="xspellingerror">
    <w:name w:val="x_spellingerror"/>
    <w:basedOn w:val="DefaultParagraphFont"/>
    <w:rsid w:val="00105AB3"/>
  </w:style>
  <w:style w:type="paragraph" w:customStyle="1" w:styleId="m4294699905874302090xparagraph">
    <w:name w:val="m_4294699905874302090xparagraph"/>
    <w:basedOn w:val="Normal"/>
    <w:rsid w:val="002078C6"/>
    <w:pPr>
      <w:spacing w:before="100" w:beforeAutospacing="1" w:after="100" w:afterAutospacing="1"/>
    </w:pPr>
    <w:rPr>
      <w:rFonts w:ascii="Times New Roman" w:eastAsiaTheme="minorHAnsi" w:hAnsi="Times New Roman" w:cs="Times New Roman"/>
    </w:rPr>
  </w:style>
  <w:style w:type="character" w:customStyle="1" w:styleId="m4294699905874302090xnormaltextrun">
    <w:name w:val="m_4294699905874302090xnormaltextrun"/>
    <w:basedOn w:val="DefaultParagraphFont"/>
    <w:rsid w:val="002078C6"/>
  </w:style>
  <w:style w:type="character" w:customStyle="1" w:styleId="m4294699905874302090xeop">
    <w:name w:val="m_4294699905874302090xeop"/>
    <w:basedOn w:val="DefaultParagraphFont"/>
    <w:rsid w:val="002078C6"/>
  </w:style>
  <w:style w:type="character" w:customStyle="1" w:styleId="m4294699905874302090xspellingerror">
    <w:name w:val="m_4294699905874302090xspellingerror"/>
    <w:basedOn w:val="DefaultParagraphFont"/>
    <w:rsid w:val="0020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5839">
      <w:bodyDiv w:val="1"/>
      <w:marLeft w:val="0"/>
      <w:marRight w:val="0"/>
      <w:marTop w:val="0"/>
      <w:marBottom w:val="0"/>
      <w:divBdr>
        <w:top w:val="none" w:sz="0" w:space="0" w:color="auto"/>
        <w:left w:val="none" w:sz="0" w:space="0" w:color="auto"/>
        <w:bottom w:val="none" w:sz="0" w:space="0" w:color="auto"/>
        <w:right w:val="none" w:sz="0" w:space="0" w:color="auto"/>
      </w:divBdr>
    </w:div>
    <w:div w:id="604114596">
      <w:bodyDiv w:val="1"/>
      <w:marLeft w:val="0"/>
      <w:marRight w:val="0"/>
      <w:marTop w:val="0"/>
      <w:marBottom w:val="0"/>
      <w:divBdr>
        <w:top w:val="none" w:sz="0" w:space="0" w:color="auto"/>
        <w:left w:val="none" w:sz="0" w:space="0" w:color="auto"/>
        <w:bottom w:val="none" w:sz="0" w:space="0" w:color="auto"/>
        <w:right w:val="none" w:sz="0" w:space="0" w:color="auto"/>
      </w:divBdr>
    </w:div>
    <w:div w:id="1768502878">
      <w:bodyDiv w:val="1"/>
      <w:marLeft w:val="0"/>
      <w:marRight w:val="0"/>
      <w:marTop w:val="0"/>
      <w:marBottom w:val="0"/>
      <w:divBdr>
        <w:top w:val="none" w:sz="0" w:space="0" w:color="auto"/>
        <w:left w:val="none" w:sz="0" w:space="0" w:color="auto"/>
        <w:bottom w:val="none" w:sz="0" w:space="0" w:color="auto"/>
        <w:right w:val="none" w:sz="0" w:space="0" w:color="auto"/>
      </w:divBdr>
    </w:div>
    <w:div w:id="1796558180">
      <w:bodyDiv w:val="1"/>
      <w:marLeft w:val="0"/>
      <w:marRight w:val="0"/>
      <w:marTop w:val="0"/>
      <w:marBottom w:val="0"/>
      <w:divBdr>
        <w:top w:val="none" w:sz="0" w:space="0" w:color="auto"/>
        <w:left w:val="none" w:sz="0" w:space="0" w:color="auto"/>
        <w:bottom w:val="none" w:sz="0" w:space="0" w:color="auto"/>
        <w:right w:val="none" w:sz="0" w:space="0" w:color="auto"/>
      </w:divBdr>
    </w:div>
    <w:div w:id="1861965850">
      <w:bodyDiv w:val="1"/>
      <w:marLeft w:val="0"/>
      <w:marRight w:val="0"/>
      <w:marTop w:val="0"/>
      <w:marBottom w:val="0"/>
      <w:divBdr>
        <w:top w:val="none" w:sz="0" w:space="0" w:color="auto"/>
        <w:left w:val="none" w:sz="0" w:space="0" w:color="auto"/>
        <w:bottom w:val="none" w:sz="0" w:space="0" w:color="auto"/>
        <w:right w:val="none" w:sz="0" w:space="0" w:color="auto"/>
      </w:divBdr>
      <w:divsChild>
        <w:div w:id="252788737">
          <w:marLeft w:val="0"/>
          <w:marRight w:val="0"/>
          <w:marTop w:val="0"/>
          <w:marBottom w:val="0"/>
          <w:divBdr>
            <w:top w:val="none" w:sz="0" w:space="0" w:color="auto"/>
            <w:left w:val="none" w:sz="0" w:space="0" w:color="auto"/>
            <w:bottom w:val="none" w:sz="0" w:space="0" w:color="auto"/>
            <w:right w:val="none" w:sz="0" w:space="0" w:color="auto"/>
          </w:divBdr>
          <w:divsChild>
            <w:div w:id="1103450812">
              <w:marLeft w:val="0"/>
              <w:marRight w:val="0"/>
              <w:marTop w:val="0"/>
              <w:marBottom w:val="0"/>
              <w:divBdr>
                <w:top w:val="none" w:sz="0" w:space="0" w:color="auto"/>
                <w:left w:val="none" w:sz="0" w:space="0" w:color="auto"/>
                <w:bottom w:val="none" w:sz="0" w:space="0" w:color="auto"/>
                <w:right w:val="none" w:sz="0" w:space="0" w:color="auto"/>
              </w:divBdr>
              <w:divsChild>
                <w:div w:id="3692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3016">
          <w:marLeft w:val="0"/>
          <w:marRight w:val="0"/>
          <w:marTop w:val="0"/>
          <w:marBottom w:val="0"/>
          <w:divBdr>
            <w:top w:val="none" w:sz="0" w:space="0" w:color="auto"/>
            <w:left w:val="none" w:sz="0" w:space="0" w:color="auto"/>
            <w:bottom w:val="none" w:sz="0" w:space="0" w:color="auto"/>
            <w:right w:val="none" w:sz="0" w:space="0" w:color="auto"/>
          </w:divBdr>
          <w:divsChild>
            <w:div w:id="897590373">
              <w:marLeft w:val="0"/>
              <w:marRight w:val="0"/>
              <w:marTop w:val="0"/>
              <w:marBottom w:val="0"/>
              <w:divBdr>
                <w:top w:val="none" w:sz="0" w:space="0" w:color="auto"/>
                <w:left w:val="none" w:sz="0" w:space="0" w:color="auto"/>
                <w:bottom w:val="none" w:sz="0" w:space="0" w:color="auto"/>
                <w:right w:val="none" w:sz="0" w:space="0" w:color="auto"/>
              </w:divBdr>
              <w:divsChild>
                <w:div w:id="2105417915">
                  <w:marLeft w:val="0"/>
                  <w:marRight w:val="0"/>
                  <w:marTop w:val="0"/>
                  <w:marBottom w:val="0"/>
                  <w:divBdr>
                    <w:top w:val="none" w:sz="0" w:space="0" w:color="auto"/>
                    <w:left w:val="none" w:sz="0" w:space="0" w:color="auto"/>
                    <w:bottom w:val="none" w:sz="0" w:space="0" w:color="auto"/>
                    <w:right w:val="none" w:sz="0" w:space="0" w:color="auto"/>
                  </w:divBdr>
                  <w:divsChild>
                    <w:div w:id="1011875850">
                      <w:marLeft w:val="0"/>
                      <w:marRight w:val="0"/>
                      <w:marTop w:val="0"/>
                      <w:marBottom w:val="0"/>
                      <w:divBdr>
                        <w:top w:val="none" w:sz="0" w:space="0" w:color="auto"/>
                        <w:left w:val="none" w:sz="0" w:space="0" w:color="auto"/>
                        <w:bottom w:val="none" w:sz="0" w:space="0" w:color="auto"/>
                        <w:right w:val="none" w:sz="0" w:space="0" w:color="auto"/>
                      </w:divBdr>
                      <w:divsChild>
                        <w:div w:id="15150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AC.BC.Press@usda.gov" TargetMode="External"/><Relationship Id="rId13" Type="http://schemas.openxmlformats.org/officeDocument/2006/relationships/hyperlink" Target="https://www.fsa.usda.gov/programs-and-services/arcplc_program/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fpc.tam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rmdocdaily.illinois.edu/2019/08/introducing-the-gardner-farmdoc-payment-calculator.html" TargetMode="External"/><Relationship Id="rId5" Type="http://schemas.openxmlformats.org/officeDocument/2006/relationships/footnotes" Target="footnotes.xml"/><Relationship Id="rId15" Type="http://schemas.openxmlformats.org/officeDocument/2006/relationships/hyperlink" Target="http://www.usda.gov" TargetMode="External"/><Relationship Id="rId10" Type="http://schemas.openxmlformats.org/officeDocument/2006/relationships/hyperlink" Target="https://www.fsa.usda.gov/programs-and-services/arcplc_program/arcplc-program-data/" TargetMode="External"/><Relationship Id="rId4" Type="http://schemas.openxmlformats.org/officeDocument/2006/relationships/webSettings" Target="webSettings.xml"/><Relationship Id="rId9" Type="http://schemas.openxmlformats.org/officeDocument/2006/relationships/hyperlink" Target="mailto:FPAC.BC.Press@usda.gov" TargetMode="External"/><Relationship Id="rId14" Type="http://schemas.openxmlformats.org/officeDocument/2006/relationships/hyperlink" Target="http://www.farmers.gov/service-center-loc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Ciji Taylor</dc:creator>
  <cp:keywords/>
  <dc:description/>
  <cp:lastModifiedBy>Coleman, Joshua - FSA, College Station, TX</cp:lastModifiedBy>
  <cp:revision>2</cp:revision>
  <dcterms:created xsi:type="dcterms:W3CDTF">2021-11-01T19:43:00Z</dcterms:created>
  <dcterms:modified xsi:type="dcterms:W3CDTF">2021-11-01T19:43:00Z</dcterms:modified>
</cp:coreProperties>
</file>