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A91" w:rsidRDefault="00BC2A91" w:rsidP="00BC2A91">
      <w:pPr>
        <w:spacing w:after="0"/>
      </w:pPr>
      <w:bookmarkStart w:id="0" w:name="_GoBack"/>
      <w:bookmarkEnd w:id="0"/>
    </w:p>
    <w:p w:rsidR="00025352" w:rsidRDefault="00025352" w:rsidP="00BC2A91">
      <w:pPr>
        <w:spacing w:after="0"/>
      </w:pPr>
    </w:p>
    <w:p w:rsidR="00BC2A91" w:rsidRDefault="00BC2A91" w:rsidP="00BC2A91">
      <w:pPr>
        <w:spacing w:after="0"/>
      </w:pPr>
      <w:r>
        <w:t xml:space="preserve">The Agriculture Improvement Act of 2018 (the </w:t>
      </w:r>
      <w:r w:rsidR="00A142A1">
        <w:t xml:space="preserve">2018 </w:t>
      </w:r>
      <w:r w:rsidR="00A7540C">
        <w:t>F</w:t>
      </w:r>
      <w:r w:rsidR="00A142A1">
        <w:t xml:space="preserve">arm </w:t>
      </w:r>
      <w:r w:rsidR="00A7540C">
        <w:t>B</w:t>
      </w:r>
      <w:r w:rsidR="00A142A1">
        <w:t>ill</w:t>
      </w:r>
      <w:r>
        <w:t>)</w:t>
      </w:r>
      <w:r w:rsidRPr="00BC2A91">
        <w:t>, signed by</w:t>
      </w:r>
      <w:r>
        <w:t xml:space="preserve"> President Trump on Dec. </w:t>
      </w:r>
      <w:r w:rsidR="00A374CC">
        <w:t>2</w:t>
      </w:r>
      <w:r w:rsidR="00A374CC" w:rsidRPr="00C23757">
        <w:t>0</w:t>
      </w:r>
      <w:r w:rsidRPr="00C23757">
        <w:t>,</w:t>
      </w:r>
      <w:r>
        <w:t xml:space="preserve"> </w:t>
      </w:r>
      <w:r w:rsidR="00C23757">
        <w:t>2018, reauthorizes</w:t>
      </w:r>
      <w:r w:rsidR="00AF271F" w:rsidRPr="00AF271F">
        <w:t xml:space="preserve"> all programs administered by the Farm Service Agency (FSA) and makes modifications to most of them.</w:t>
      </w:r>
      <w:r w:rsidRPr="00BC2A91">
        <w:t xml:space="preserve"> </w:t>
      </w:r>
      <w:r w:rsidR="00F948AE">
        <w:t xml:space="preserve"> </w:t>
      </w:r>
      <w:r w:rsidR="00764143">
        <w:t xml:space="preserve">Most of the </w:t>
      </w:r>
      <w:r w:rsidRPr="00BC2A91">
        <w:t>programs are au</w:t>
      </w:r>
      <w:r>
        <w:t>thorized through 2023</w:t>
      </w:r>
      <w:r w:rsidR="00764143">
        <w:t xml:space="preserve">. A select few </w:t>
      </w:r>
      <w:r w:rsidR="00A142A1">
        <w:t>are authorized and funded indefinitely.</w:t>
      </w:r>
    </w:p>
    <w:p w:rsidR="00BC2A91" w:rsidRDefault="00BC2A91" w:rsidP="00BC2A91">
      <w:pPr>
        <w:spacing w:after="0"/>
      </w:pPr>
    </w:p>
    <w:p w:rsidR="00BC2A91" w:rsidRPr="00025352" w:rsidRDefault="0065738D" w:rsidP="00BC2A91">
      <w:pPr>
        <w:spacing w:after="0"/>
        <w:rPr>
          <w:b/>
        </w:rPr>
      </w:pPr>
      <w:r w:rsidRPr="00025352">
        <w:rPr>
          <w:b/>
        </w:rPr>
        <w:t>Safety Net</w:t>
      </w:r>
      <w:r w:rsidR="006F7C26" w:rsidRPr="00025352">
        <w:rPr>
          <w:b/>
        </w:rPr>
        <w:t>, Price Support,</w:t>
      </w:r>
      <w:r w:rsidRPr="00025352">
        <w:rPr>
          <w:b/>
        </w:rPr>
        <w:t xml:space="preserve"> and Conservation </w:t>
      </w:r>
      <w:r w:rsidR="00BC2A91" w:rsidRPr="00025352">
        <w:rPr>
          <w:b/>
        </w:rPr>
        <w:t>Overview</w:t>
      </w:r>
    </w:p>
    <w:p w:rsidR="006F7C26" w:rsidRDefault="00AF271F" w:rsidP="006F7C26">
      <w:pPr>
        <w:pStyle w:val="ListParagraph"/>
        <w:numPr>
          <w:ilvl w:val="0"/>
          <w:numId w:val="24"/>
        </w:numPr>
        <w:spacing w:after="0" w:line="240" w:lineRule="auto"/>
        <w:contextualSpacing w:val="0"/>
      </w:pPr>
      <w:r w:rsidRPr="00AF271F">
        <w:t xml:space="preserve">The Agriculture Risk Coverage (ARC) and Price Loss Coverage (PLC) programs are continued with some modifications. ARC and PLC are authorized from 2019 to 2023 for all covered commodities, including seed cotton. </w:t>
      </w:r>
      <w:r w:rsidR="00F948AE">
        <w:t xml:space="preserve"> </w:t>
      </w:r>
      <w:r w:rsidRPr="00AF271F">
        <w:t>Producers may make a new election to obtain either ARC or PLC for the 2019 crop year. That election also applies for the 2020 crop year.</w:t>
      </w:r>
      <w:r w:rsidR="00794D0E">
        <w:t xml:space="preserve"> </w:t>
      </w:r>
      <w:r w:rsidR="00C23757">
        <w:t>Producers may change elections annually during the 2021 through 2023 crop years</w:t>
      </w:r>
      <w:r w:rsidRPr="00AF271F">
        <w:t>.</w:t>
      </w:r>
      <w:r w:rsidR="00025352">
        <w:t xml:space="preserve">  </w:t>
      </w:r>
      <w:r w:rsidR="00025352" w:rsidRPr="00025352">
        <w:t>Owners can update the farm’s PLC payment yield beginning with the 2020 crop year.</w:t>
      </w:r>
    </w:p>
    <w:p w:rsidR="00FF76DD" w:rsidRDefault="00025352" w:rsidP="00951245">
      <w:pPr>
        <w:pStyle w:val="ListParagraph"/>
        <w:numPr>
          <w:ilvl w:val="0"/>
          <w:numId w:val="1"/>
        </w:numPr>
        <w:spacing w:after="0" w:line="240" w:lineRule="auto"/>
        <w:contextualSpacing w:val="0"/>
      </w:pPr>
      <w:r>
        <w:t>Commodity loan</w:t>
      </w:r>
      <w:r w:rsidR="004F6727">
        <w:t xml:space="preserve"> rates increased for all c</w:t>
      </w:r>
      <w:r>
        <w:t>rops</w:t>
      </w:r>
      <w:r w:rsidR="004F6727">
        <w:t xml:space="preserve"> except </w:t>
      </w:r>
      <w:r w:rsidR="00E042BF">
        <w:t>minor</w:t>
      </w:r>
      <w:r w:rsidR="001676E9">
        <w:t xml:space="preserve"> </w:t>
      </w:r>
      <w:r w:rsidR="004F6727">
        <w:t>oilseeds, wool, mohair, honey, peanuts, and upland cotton.</w:t>
      </w:r>
      <w:r w:rsidR="00CF6B02">
        <w:t xml:space="preserve"> </w:t>
      </w:r>
      <w:r w:rsidR="004F6727">
        <w:t xml:space="preserve"> Marketing </w:t>
      </w:r>
      <w:r w:rsidR="001676E9">
        <w:t>l</w:t>
      </w:r>
      <w:r w:rsidR="004F6727">
        <w:t xml:space="preserve">oan </w:t>
      </w:r>
      <w:r w:rsidR="001676E9">
        <w:t>g</w:t>
      </w:r>
      <w:r w:rsidR="004F6727">
        <w:t>ains (MLG</w:t>
      </w:r>
      <w:r w:rsidR="00AF271F">
        <w:t>s</w:t>
      </w:r>
      <w:r w:rsidR="004F6727">
        <w:t xml:space="preserve">) and </w:t>
      </w:r>
      <w:r w:rsidR="001676E9">
        <w:t>l</w:t>
      </w:r>
      <w:r w:rsidR="004F6727">
        <w:t xml:space="preserve">oan </w:t>
      </w:r>
      <w:r w:rsidR="001676E9">
        <w:t>d</w:t>
      </w:r>
      <w:r w:rsidR="004F6727">
        <w:t xml:space="preserve">eficiency </w:t>
      </w:r>
      <w:r w:rsidR="001676E9">
        <w:t>p</w:t>
      </w:r>
      <w:r w:rsidR="004F6727">
        <w:t>ayments (LDP</w:t>
      </w:r>
      <w:r w:rsidR="00AF271F">
        <w:t>s</w:t>
      </w:r>
      <w:r w:rsidR="004F6727">
        <w:t>) are no longer subject to payment limitations</w:t>
      </w:r>
      <w:r w:rsidR="001676E9">
        <w:t xml:space="preserve">, </w:t>
      </w:r>
      <w:r w:rsidR="004F6727">
        <w:t>actively engaged in farm</w:t>
      </w:r>
      <w:r w:rsidR="00377920">
        <w:t>ing</w:t>
      </w:r>
      <w:r w:rsidR="004F6727">
        <w:t xml:space="preserve"> and cash-rent tenant</w:t>
      </w:r>
      <w:r w:rsidR="00AF271F">
        <w:t xml:space="preserve"> rules</w:t>
      </w:r>
      <w:r w:rsidR="004F6727">
        <w:t>.</w:t>
      </w:r>
      <w:r w:rsidR="00865273" w:rsidRPr="00865273">
        <w:t xml:space="preserve"> </w:t>
      </w:r>
      <w:r w:rsidR="00865273">
        <w:t xml:space="preserve"> </w:t>
      </w:r>
    </w:p>
    <w:p w:rsidR="00E6044C" w:rsidRDefault="001676E9" w:rsidP="006F7C26">
      <w:pPr>
        <w:pStyle w:val="ListParagraph"/>
        <w:numPr>
          <w:ilvl w:val="0"/>
          <w:numId w:val="1"/>
        </w:numPr>
        <w:spacing w:after="0" w:line="240" w:lineRule="auto"/>
        <w:contextualSpacing w:val="0"/>
      </w:pPr>
      <w:r>
        <w:t>Buy-up coverage under the</w:t>
      </w:r>
      <w:r w:rsidR="00E6044C">
        <w:t xml:space="preserve"> Noninsured Crop Disaster Assistance Program</w:t>
      </w:r>
      <w:r>
        <w:t xml:space="preserve"> (NAP)</w:t>
      </w:r>
      <w:r w:rsidR="00E6044C">
        <w:t xml:space="preserve"> </w:t>
      </w:r>
      <w:r w:rsidR="00A7540C">
        <w:t xml:space="preserve">is now part of </w:t>
      </w:r>
      <w:r w:rsidR="00E6044C">
        <w:t>permanent</w:t>
      </w:r>
      <w:r w:rsidR="00A7540C">
        <w:t xml:space="preserve"> </w:t>
      </w:r>
      <w:r w:rsidR="00A374CC">
        <w:t>program authorization</w:t>
      </w:r>
      <w:r w:rsidR="00794D0E">
        <w:t xml:space="preserve">. </w:t>
      </w:r>
      <w:r w:rsidR="005A3E80">
        <w:t>Basic coverage has a payment limitation of $125,000 per person and legal entity, while</w:t>
      </w:r>
      <w:r w:rsidR="00A7540C">
        <w:t xml:space="preserve"> </w:t>
      </w:r>
      <w:r w:rsidR="005A3E80">
        <w:t xml:space="preserve">the payment limitation for </w:t>
      </w:r>
      <w:r w:rsidR="00A7540C">
        <w:t>buy-up coverage</w:t>
      </w:r>
      <w:r w:rsidR="005A3E80">
        <w:t xml:space="preserve"> is </w:t>
      </w:r>
      <w:r w:rsidR="00AF271F">
        <w:t xml:space="preserve">a separate </w:t>
      </w:r>
      <w:r w:rsidR="0003787B">
        <w:t xml:space="preserve">$300,000. </w:t>
      </w:r>
      <w:r w:rsidR="00271538">
        <w:t>S</w:t>
      </w:r>
      <w:r w:rsidR="00A7540C">
        <w:t>ervice fees for applications</w:t>
      </w:r>
      <w:r w:rsidR="00215734">
        <w:t xml:space="preserve"> for coverage</w:t>
      </w:r>
      <w:r w:rsidR="00271538">
        <w:t xml:space="preserve"> have increased</w:t>
      </w:r>
      <w:r w:rsidR="00377920">
        <w:t>, while</w:t>
      </w:r>
      <w:r w:rsidR="005A3E80">
        <w:t xml:space="preserve"> t</w:t>
      </w:r>
      <w:r w:rsidR="00215734">
        <w:t>he p</w:t>
      </w:r>
      <w:r w:rsidR="005A3E80">
        <w:t>remium</w:t>
      </w:r>
      <w:r w:rsidR="00407F30">
        <w:t xml:space="preserve"> amounts</w:t>
      </w:r>
      <w:r w:rsidR="005A3E80">
        <w:t xml:space="preserve"> for buy-up NAP coverage </w:t>
      </w:r>
      <w:r w:rsidR="00B46AF0">
        <w:t>are unchanged</w:t>
      </w:r>
      <w:r w:rsidR="00215734">
        <w:t xml:space="preserve">. </w:t>
      </w:r>
    </w:p>
    <w:p w:rsidR="00E6044C" w:rsidRDefault="00EE5850" w:rsidP="00BC2A91">
      <w:pPr>
        <w:pStyle w:val="ListParagraph"/>
        <w:numPr>
          <w:ilvl w:val="0"/>
          <w:numId w:val="1"/>
        </w:numPr>
        <w:spacing w:after="0"/>
      </w:pPr>
      <w:r>
        <w:t>The Livestock Indemnity Program (LIP)</w:t>
      </w:r>
      <w:r w:rsidR="00E537C4">
        <w:t>,</w:t>
      </w:r>
      <w:r>
        <w:t xml:space="preserve"> the Emergency Assistance for Livestock, Honeybees, and Farm-Raised Fish </w:t>
      </w:r>
      <w:r w:rsidR="0003787B">
        <w:t>P</w:t>
      </w:r>
      <w:r>
        <w:t>rogram (ELAP)</w:t>
      </w:r>
      <w:r w:rsidR="00E537C4">
        <w:t xml:space="preserve">, </w:t>
      </w:r>
      <w:r w:rsidR="00B46AF0">
        <w:t xml:space="preserve">the </w:t>
      </w:r>
      <w:r w:rsidR="00A7540C">
        <w:t>Livestock Forage Disaster Program (LFP</w:t>
      </w:r>
      <w:r w:rsidR="001C2F63">
        <w:t>), and</w:t>
      </w:r>
      <w:r w:rsidR="00E537C4">
        <w:t xml:space="preserve"> the Tree Assistance Program (TAP)</w:t>
      </w:r>
      <w:r>
        <w:t xml:space="preserve"> remain</w:t>
      </w:r>
      <w:r w:rsidR="00A7540C">
        <w:t xml:space="preserve"> authorized and </w:t>
      </w:r>
      <w:r w:rsidR="006F7C26">
        <w:t>have minimal changes</w:t>
      </w:r>
      <w:r w:rsidR="00B46AF0">
        <w:t>.</w:t>
      </w:r>
      <w:r w:rsidR="00215734">
        <w:t xml:space="preserve"> </w:t>
      </w:r>
    </w:p>
    <w:p w:rsidR="00C41E42" w:rsidRDefault="00C41E42" w:rsidP="00BC2A91">
      <w:pPr>
        <w:pStyle w:val="ListParagraph"/>
        <w:numPr>
          <w:ilvl w:val="0"/>
          <w:numId w:val="1"/>
        </w:numPr>
        <w:spacing w:after="0"/>
      </w:pPr>
      <w:r>
        <w:t>The Dairy Margin Cover</w:t>
      </w:r>
      <w:r w:rsidR="00963DFF">
        <w:t>age</w:t>
      </w:r>
      <w:r>
        <w:t xml:space="preserve"> Program (DMC) has replaced the</w:t>
      </w:r>
      <w:r w:rsidR="00963DFF">
        <w:t xml:space="preserve"> </w:t>
      </w:r>
      <w:r>
        <w:t xml:space="preserve">Margin Protection Program </w:t>
      </w:r>
      <w:r w:rsidR="00963DFF">
        <w:t xml:space="preserve">for Dairy </w:t>
      </w:r>
      <w:r>
        <w:t xml:space="preserve">(MPP). </w:t>
      </w:r>
      <w:r w:rsidR="00F04138">
        <w:t xml:space="preserve">If </w:t>
      </w:r>
      <w:r w:rsidR="007F7132">
        <w:t xml:space="preserve">an operation </w:t>
      </w:r>
      <w:r w:rsidR="00F04138">
        <w:t>make</w:t>
      </w:r>
      <w:r w:rsidR="007F7132">
        <w:t>s</w:t>
      </w:r>
      <w:r w:rsidR="00F04138">
        <w:t xml:space="preserve"> a one-time election </w:t>
      </w:r>
      <w:r w:rsidR="007F7132">
        <w:t xml:space="preserve">to participate in DMC </w:t>
      </w:r>
      <w:r w:rsidR="00B46AF0">
        <w:t>from enrollment</w:t>
      </w:r>
      <w:r w:rsidR="007F7132">
        <w:t xml:space="preserve"> through 2023, </w:t>
      </w:r>
      <w:r w:rsidR="00F04138">
        <w:t xml:space="preserve">the </w:t>
      </w:r>
      <w:r w:rsidR="007F7132">
        <w:t xml:space="preserve">operation is </w:t>
      </w:r>
      <w:r w:rsidR="00F04138">
        <w:t>eligible to receive a 25 percent discount on the existing margin coverage rates.</w:t>
      </w:r>
      <w:r w:rsidR="0003787B">
        <w:t xml:space="preserve"> </w:t>
      </w:r>
      <w:r w:rsidR="00B46AF0">
        <w:t>The maximum level for operations with c</w:t>
      </w:r>
      <w:r w:rsidR="000820E2">
        <w:t xml:space="preserve">overed production history </w:t>
      </w:r>
      <w:r w:rsidR="00CF6B02">
        <w:t xml:space="preserve">of </w:t>
      </w:r>
      <w:r w:rsidR="000820E2">
        <w:t>less than five million pounds is increased to $9.50.</w:t>
      </w:r>
      <w:r w:rsidR="007F7132">
        <w:t xml:space="preserve"> A dairy operation </w:t>
      </w:r>
      <w:r w:rsidR="00B46AF0">
        <w:t>that</w:t>
      </w:r>
      <w:r w:rsidR="007F7132">
        <w:t xml:space="preserve"> enrolled in MPP any year from 2014-2017 may be eligible to receive a refund of premiums paid if the premium paid exceeds the MPP payments received by the operation.</w:t>
      </w:r>
      <w:r w:rsidR="00377920" w:rsidRPr="00377920">
        <w:t xml:space="preserve"> </w:t>
      </w:r>
      <w:r w:rsidR="00377920">
        <w:t xml:space="preserve">Producers who enrolled in the Livestock Gross Margin for Dairy Cattle program (LGM) in 2018 may enroll in 2018 MPP retroactively.  </w:t>
      </w:r>
    </w:p>
    <w:p w:rsidR="00FE557F" w:rsidRDefault="00AF2E65" w:rsidP="00BC2A91">
      <w:pPr>
        <w:pStyle w:val="ListParagraph"/>
        <w:numPr>
          <w:ilvl w:val="0"/>
          <w:numId w:val="1"/>
        </w:numPr>
        <w:spacing w:after="0"/>
      </w:pPr>
      <w:r>
        <w:t xml:space="preserve">The </w:t>
      </w:r>
      <w:r w:rsidR="00021C05">
        <w:t xml:space="preserve">acreage </w:t>
      </w:r>
      <w:r w:rsidR="007F7132">
        <w:t>cap</w:t>
      </w:r>
      <w:r w:rsidR="00021C05">
        <w:t xml:space="preserve"> for the Conservation Reserve Program (CR</w:t>
      </w:r>
      <w:r w:rsidR="00A7540C">
        <w:t>P</w:t>
      </w:r>
      <w:r w:rsidR="00021C05">
        <w:t xml:space="preserve">) </w:t>
      </w:r>
      <w:r w:rsidR="007F7132">
        <w:t xml:space="preserve">gradually increases to </w:t>
      </w:r>
      <w:r w:rsidR="00021C05">
        <w:t>27 million</w:t>
      </w:r>
      <w:r w:rsidR="00A7540C">
        <w:t xml:space="preserve"> acres</w:t>
      </w:r>
      <w:r w:rsidR="00021C05">
        <w:t xml:space="preserve"> by 2023</w:t>
      </w:r>
      <w:r w:rsidR="0003787B">
        <w:t xml:space="preserve">. </w:t>
      </w:r>
      <w:r w:rsidR="007F7132">
        <w:t>A</w:t>
      </w:r>
      <w:r w:rsidR="00021C05">
        <w:t xml:space="preserve">t least 8.6 million acres </w:t>
      </w:r>
      <w:r w:rsidR="007F7132">
        <w:t xml:space="preserve">must be </w:t>
      </w:r>
      <w:r w:rsidR="00021C05">
        <w:t xml:space="preserve">devoted to continuous practices and 2 million acres </w:t>
      </w:r>
      <w:r w:rsidR="00A7540C">
        <w:t xml:space="preserve">to </w:t>
      </w:r>
      <w:r w:rsidR="0003787B">
        <w:t xml:space="preserve">grassland. </w:t>
      </w:r>
      <w:r w:rsidR="00021C05">
        <w:t>Two pilot programs</w:t>
      </w:r>
      <w:r w:rsidR="007F7132">
        <w:t xml:space="preserve"> are authorized: </w:t>
      </w:r>
      <w:r w:rsidR="00021C05">
        <w:t>CLEAR 30 (Clean Lakes, Estuaries, and Rivers Initi</w:t>
      </w:r>
      <w:r w:rsidR="00377920">
        <w:t>ative) and the Soil Health and I</w:t>
      </w:r>
      <w:r w:rsidR="00021C05">
        <w:t>ncome Protection Pilot Program (SHI</w:t>
      </w:r>
      <w:r w:rsidR="00377920">
        <w:t>P</w:t>
      </w:r>
      <w:r w:rsidR="00021C05">
        <w:t xml:space="preserve">P).  </w:t>
      </w:r>
    </w:p>
    <w:p w:rsidR="00D00EFA" w:rsidRDefault="00D00EFA" w:rsidP="00D00EFA">
      <w:pPr>
        <w:pStyle w:val="ListParagraph"/>
        <w:spacing w:after="0"/>
      </w:pPr>
    </w:p>
    <w:p w:rsidR="00021C05" w:rsidRPr="00025352" w:rsidRDefault="00021C05" w:rsidP="00D00EFA">
      <w:pPr>
        <w:spacing w:after="0"/>
        <w:rPr>
          <w:b/>
        </w:rPr>
      </w:pPr>
      <w:r w:rsidRPr="00025352">
        <w:rPr>
          <w:b/>
        </w:rPr>
        <w:t>Credit</w:t>
      </w:r>
      <w:r w:rsidR="0065738D" w:rsidRPr="00025352">
        <w:rPr>
          <w:b/>
        </w:rPr>
        <w:t xml:space="preserve"> Overview</w:t>
      </w:r>
    </w:p>
    <w:p w:rsidR="00025352" w:rsidRDefault="00947B0E" w:rsidP="00025352">
      <w:pPr>
        <w:pStyle w:val="ListParagraph"/>
        <w:numPr>
          <w:ilvl w:val="0"/>
          <w:numId w:val="26"/>
        </w:numPr>
        <w:spacing w:after="0"/>
      </w:pPr>
      <w:r>
        <w:t xml:space="preserve">The Direct Farm Ownership loan limit is increased to $600,000 and the Guaranteed Farm Ownership loan limit is increased to $1,750,000.  </w:t>
      </w:r>
    </w:p>
    <w:p w:rsidR="00025352" w:rsidRDefault="00947B0E" w:rsidP="00025352">
      <w:pPr>
        <w:pStyle w:val="ListParagraph"/>
        <w:numPr>
          <w:ilvl w:val="0"/>
          <w:numId w:val="26"/>
        </w:numPr>
        <w:spacing w:after="0"/>
      </w:pPr>
      <w:r>
        <w:t xml:space="preserve">The Direct Operating loan limit is increased to $400,000 and the Guaranteed Operating loan limit is increased to $1,750,000.  </w:t>
      </w:r>
    </w:p>
    <w:p w:rsidR="00947B0E" w:rsidRDefault="00947B0E" w:rsidP="00025352">
      <w:pPr>
        <w:pStyle w:val="ListParagraph"/>
        <w:numPr>
          <w:ilvl w:val="0"/>
          <w:numId w:val="26"/>
        </w:numPr>
        <w:spacing w:after="0"/>
      </w:pPr>
      <w:r>
        <w:t xml:space="preserve">A farmer or rancher may receive both a $50,000 Farm Ownership Microloan and a $50,000 Operating Microloan. </w:t>
      </w:r>
      <w:r w:rsidR="00CF6B02">
        <w:t xml:space="preserve"> </w:t>
      </w:r>
      <w:r>
        <w:t xml:space="preserve">Previously, microloans were limited to a </w:t>
      </w:r>
      <w:r w:rsidR="006F7C26">
        <w:t xml:space="preserve">combined </w:t>
      </w:r>
      <w:r>
        <w:t>total of $50,000 for both Farm Ownership and Operating Microloans.</w:t>
      </w:r>
    </w:p>
    <w:p w:rsidR="00025352" w:rsidRDefault="00025352" w:rsidP="00025352">
      <w:pPr>
        <w:pStyle w:val="ListParagraph"/>
        <w:spacing w:after="0"/>
        <w:ind w:left="1440"/>
      </w:pPr>
    </w:p>
    <w:p w:rsidR="00947B0E" w:rsidRPr="00025352" w:rsidRDefault="00A7540C" w:rsidP="00947B0E">
      <w:pPr>
        <w:spacing w:after="0"/>
        <w:rPr>
          <w:b/>
        </w:rPr>
      </w:pPr>
      <w:r w:rsidRPr="00025352">
        <w:rPr>
          <w:b/>
        </w:rPr>
        <w:t xml:space="preserve">Average </w:t>
      </w:r>
      <w:r w:rsidR="00021C05" w:rsidRPr="00025352">
        <w:rPr>
          <w:b/>
        </w:rPr>
        <w:t>Adjusted Gross Income (AGI</w:t>
      </w:r>
      <w:r w:rsidR="00F3344E" w:rsidRPr="00025352">
        <w:rPr>
          <w:b/>
        </w:rPr>
        <w:t>)</w:t>
      </w:r>
    </w:p>
    <w:p w:rsidR="00947B0E" w:rsidRDefault="00947B0E" w:rsidP="00947B0E">
      <w:pPr>
        <w:pStyle w:val="ListParagraph"/>
        <w:numPr>
          <w:ilvl w:val="0"/>
          <w:numId w:val="22"/>
        </w:numPr>
        <w:spacing w:after="0"/>
      </w:pPr>
      <w:r w:rsidRPr="00947B0E">
        <w:t xml:space="preserve">AGI compliance provisions are unchanged. Persons and legal entities whose </w:t>
      </w:r>
      <w:r w:rsidR="00F3344E">
        <w:t xml:space="preserve">average </w:t>
      </w:r>
      <w:r w:rsidRPr="00947B0E">
        <w:t>AGI exceeds $900,000 are ineligible for payments under most programs administered by FSA and the Natural Resources Conservation Service (NRCS).</w:t>
      </w:r>
    </w:p>
    <w:p w:rsidR="00A374CC" w:rsidRDefault="005704A3" w:rsidP="005704A3">
      <w:pPr>
        <w:pStyle w:val="ListParagraph"/>
        <w:numPr>
          <w:ilvl w:val="0"/>
          <w:numId w:val="2"/>
        </w:numPr>
        <w:spacing w:after="0"/>
      </w:pPr>
      <w:r w:rsidRPr="005704A3">
        <w:t>The Secretary may waive the AGI limitation on a case-by-case basis if the Secretary determines that environmentally sensitive land of special significance would be protected as a result of such waiver.</w:t>
      </w:r>
    </w:p>
    <w:p w:rsidR="005704A3" w:rsidRPr="00025352" w:rsidRDefault="005704A3" w:rsidP="005704A3">
      <w:pPr>
        <w:pStyle w:val="ListParagraph"/>
        <w:spacing w:after="0"/>
        <w:rPr>
          <w:b/>
        </w:rPr>
      </w:pPr>
    </w:p>
    <w:p w:rsidR="00C6077F" w:rsidRPr="00025352" w:rsidRDefault="00C6077F" w:rsidP="00911DED">
      <w:pPr>
        <w:spacing w:after="0"/>
        <w:rPr>
          <w:b/>
        </w:rPr>
      </w:pPr>
      <w:r w:rsidRPr="00025352">
        <w:rPr>
          <w:b/>
        </w:rPr>
        <w:t>Payment Limitation</w:t>
      </w:r>
    </w:p>
    <w:p w:rsidR="003D59F7" w:rsidRDefault="00AE657F" w:rsidP="00911DED">
      <w:pPr>
        <w:pStyle w:val="ListParagraph"/>
        <w:numPr>
          <w:ilvl w:val="0"/>
          <w:numId w:val="3"/>
        </w:numPr>
        <w:spacing w:after="0"/>
      </w:pPr>
      <w:r>
        <w:t>A comparison of p</w:t>
      </w:r>
      <w:r w:rsidR="003D59F7">
        <w:t>ayment limitation</w:t>
      </w:r>
      <w:r w:rsidR="00A7540C">
        <w:t xml:space="preserve"> applications</w:t>
      </w:r>
      <w:r w:rsidR="003D59F7">
        <w:t xml:space="preserve"> </w:t>
      </w:r>
      <w:r w:rsidR="00A7540C">
        <w:t xml:space="preserve">under the </w:t>
      </w:r>
      <w:r>
        <w:t>2014</w:t>
      </w:r>
      <w:r w:rsidR="00153101">
        <w:t xml:space="preserve"> Farm Bill as amended and under the 20</w:t>
      </w:r>
      <w:r w:rsidR="00A7540C">
        <w:t>18 Farm Bill</w:t>
      </w:r>
      <w:r w:rsidR="003D59F7">
        <w:t>.</w:t>
      </w:r>
    </w:p>
    <w:p w:rsidR="007C5461" w:rsidRDefault="007C5461" w:rsidP="0053533A">
      <w:pPr>
        <w:spacing w:after="0"/>
        <w:jc w:val="center"/>
        <w:rPr>
          <w:b/>
        </w:rPr>
      </w:pPr>
    </w:p>
    <w:p w:rsidR="00424604" w:rsidRDefault="00424604" w:rsidP="0053533A">
      <w:pPr>
        <w:spacing w:after="0"/>
        <w:jc w:val="center"/>
        <w:rPr>
          <w:b/>
        </w:rPr>
        <w:sectPr w:rsidR="00424604" w:rsidSect="00025352">
          <w:headerReference w:type="default" r:id="rId8"/>
          <w:footerReference w:type="default" r:id="rId9"/>
          <w:pgSz w:w="12240" w:h="15840"/>
          <w:pgMar w:top="720" w:right="720" w:bottom="720" w:left="720" w:header="432" w:footer="288" w:gutter="0"/>
          <w:cols w:space="720"/>
          <w:docGrid w:linePitch="360"/>
        </w:sectPr>
      </w:pPr>
    </w:p>
    <w:tbl>
      <w:tblPr>
        <w:tblStyle w:val="TableGrid"/>
        <w:tblW w:w="9535" w:type="dxa"/>
        <w:jc w:val="center"/>
        <w:tblLook w:val="04A0" w:firstRow="1" w:lastRow="0" w:firstColumn="1" w:lastColumn="0" w:noHBand="0" w:noVBand="1"/>
      </w:tblPr>
      <w:tblGrid>
        <w:gridCol w:w="3235"/>
        <w:gridCol w:w="3690"/>
        <w:gridCol w:w="2610"/>
      </w:tblGrid>
      <w:tr w:rsidR="00313B45" w:rsidTr="00424604">
        <w:trPr>
          <w:trHeight w:val="795"/>
          <w:jc w:val="center"/>
        </w:trPr>
        <w:tc>
          <w:tcPr>
            <w:tcW w:w="3235" w:type="dxa"/>
            <w:tcBorders>
              <w:top w:val="single" w:sz="12" w:space="0" w:color="auto"/>
              <w:left w:val="single" w:sz="12" w:space="0" w:color="auto"/>
              <w:bottom w:val="single" w:sz="12" w:space="0" w:color="auto"/>
              <w:right w:val="single" w:sz="12" w:space="0" w:color="auto"/>
            </w:tcBorders>
            <w:vAlign w:val="center"/>
          </w:tcPr>
          <w:p w:rsidR="00313B45" w:rsidRDefault="00313B45" w:rsidP="00BD789E">
            <w:pPr>
              <w:jc w:val="center"/>
            </w:pPr>
            <w:r w:rsidRPr="00DE352D">
              <w:rPr>
                <w:b/>
              </w:rPr>
              <w:t>Program – each row represents a separate payment</w:t>
            </w:r>
          </w:p>
        </w:tc>
        <w:tc>
          <w:tcPr>
            <w:tcW w:w="3690" w:type="dxa"/>
            <w:tcBorders>
              <w:top w:val="single" w:sz="12" w:space="0" w:color="auto"/>
              <w:left w:val="single" w:sz="12" w:space="0" w:color="auto"/>
              <w:bottom w:val="single" w:sz="12" w:space="0" w:color="auto"/>
              <w:right w:val="single" w:sz="12" w:space="0" w:color="auto"/>
            </w:tcBorders>
            <w:vAlign w:val="center"/>
          </w:tcPr>
          <w:p w:rsidR="00313B45" w:rsidRPr="007C5461" w:rsidRDefault="00313B45" w:rsidP="00BD789E">
            <w:pPr>
              <w:jc w:val="center"/>
              <w:rPr>
                <w:b/>
              </w:rPr>
            </w:pPr>
            <w:r>
              <w:rPr>
                <w:b/>
              </w:rPr>
              <w:t xml:space="preserve">Per Person or Legal Entity Annual Payment and/or Acreage </w:t>
            </w:r>
            <w:r w:rsidRPr="007C5461">
              <w:rPr>
                <w:b/>
              </w:rPr>
              <w:t xml:space="preserve">Limitation </w:t>
            </w:r>
            <w:r>
              <w:rPr>
                <w:b/>
              </w:rPr>
              <w:t>under t</w:t>
            </w:r>
            <w:r w:rsidRPr="007C5461">
              <w:rPr>
                <w:b/>
              </w:rPr>
              <w:t>he 2014 Farm Bill</w:t>
            </w:r>
            <w:r w:rsidR="00153101">
              <w:rPr>
                <w:b/>
              </w:rPr>
              <w:t>, as amended</w:t>
            </w:r>
          </w:p>
        </w:tc>
        <w:tc>
          <w:tcPr>
            <w:tcW w:w="2610" w:type="dxa"/>
            <w:tcBorders>
              <w:top w:val="single" w:sz="12" w:space="0" w:color="auto"/>
              <w:left w:val="single" w:sz="12" w:space="0" w:color="auto"/>
              <w:bottom w:val="single" w:sz="12" w:space="0" w:color="auto"/>
              <w:right w:val="single" w:sz="12" w:space="0" w:color="auto"/>
            </w:tcBorders>
            <w:vAlign w:val="center"/>
          </w:tcPr>
          <w:p w:rsidR="00313B45" w:rsidRDefault="00313B45" w:rsidP="00BD789E">
            <w:pPr>
              <w:jc w:val="center"/>
              <w:rPr>
                <w:b/>
              </w:rPr>
            </w:pPr>
            <w:r>
              <w:rPr>
                <w:b/>
              </w:rPr>
              <w:t xml:space="preserve">Per Person or Legal Entity Annual Payment or Acreage </w:t>
            </w:r>
            <w:r w:rsidRPr="00DE352D">
              <w:rPr>
                <w:b/>
              </w:rPr>
              <w:t>Limitation</w:t>
            </w:r>
            <w:r>
              <w:rPr>
                <w:b/>
              </w:rPr>
              <w:t xml:space="preserve"> under the 2018 Farm Bill</w:t>
            </w:r>
          </w:p>
        </w:tc>
      </w:tr>
      <w:tr w:rsidR="00313B45" w:rsidTr="00424604">
        <w:trPr>
          <w:trHeight w:val="810"/>
          <w:jc w:val="center"/>
        </w:trPr>
        <w:tc>
          <w:tcPr>
            <w:tcW w:w="3235" w:type="dxa"/>
            <w:tcBorders>
              <w:top w:val="single" w:sz="12" w:space="0" w:color="auto"/>
              <w:left w:val="single" w:sz="12" w:space="0" w:color="auto"/>
              <w:right w:val="single" w:sz="12" w:space="0" w:color="auto"/>
            </w:tcBorders>
            <w:shd w:val="clear" w:color="auto" w:fill="F2F2F2" w:themeFill="background1" w:themeFillShade="F2"/>
            <w:vAlign w:val="center"/>
          </w:tcPr>
          <w:p w:rsidR="00313B45" w:rsidRDefault="00313B45" w:rsidP="00BD789E">
            <w:pPr>
              <w:jc w:val="center"/>
            </w:pPr>
            <w:r>
              <w:t>ARC, PLC, LDP, and MLG payments – other than peanuts</w:t>
            </w:r>
          </w:p>
        </w:tc>
        <w:tc>
          <w:tcPr>
            <w:tcW w:w="3690" w:type="dxa"/>
            <w:tcBorders>
              <w:top w:val="single" w:sz="12" w:space="0" w:color="auto"/>
              <w:left w:val="single" w:sz="12" w:space="0" w:color="auto"/>
              <w:right w:val="single" w:sz="12" w:space="0" w:color="auto"/>
            </w:tcBorders>
            <w:shd w:val="clear" w:color="auto" w:fill="F2F2F2" w:themeFill="background1" w:themeFillShade="F2"/>
            <w:vAlign w:val="center"/>
          </w:tcPr>
          <w:p w:rsidR="00313B45" w:rsidRDefault="00313B45" w:rsidP="00BD789E">
            <w:pPr>
              <w:jc w:val="center"/>
            </w:pPr>
            <w:r>
              <w:t>$125,000</w:t>
            </w:r>
          </w:p>
        </w:tc>
        <w:tc>
          <w:tcPr>
            <w:tcW w:w="2610" w:type="dxa"/>
            <w:tcBorders>
              <w:top w:val="single" w:sz="12" w:space="0" w:color="auto"/>
              <w:left w:val="single" w:sz="12" w:space="0" w:color="auto"/>
              <w:right w:val="single" w:sz="12" w:space="0" w:color="auto"/>
            </w:tcBorders>
            <w:shd w:val="clear" w:color="auto" w:fill="F2F2F2" w:themeFill="background1" w:themeFillShade="F2"/>
            <w:vAlign w:val="center"/>
          </w:tcPr>
          <w:p w:rsidR="00313B45" w:rsidRDefault="00313B45" w:rsidP="00BD789E">
            <w:pPr>
              <w:jc w:val="center"/>
            </w:pPr>
            <w:r>
              <w:t>$125,000</w:t>
            </w:r>
          </w:p>
          <w:p w:rsidR="00313B45" w:rsidRPr="00313B45" w:rsidRDefault="00313B45" w:rsidP="00BD789E">
            <w:pPr>
              <w:jc w:val="center"/>
              <w:rPr>
                <w:i/>
              </w:rPr>
            </w:pPr>
            <w:r w:rsidRPr="00313B45">
              <w:rPr>
                <w:i/>
                <w:sz w:val="20"/>
              </w:rPr>
              <w:t>Now excludes LDPs and MLGs</w:t>
            </w:r>
          </w:p>
        </w:tc>
      </w:tr>
      <w:tr w:rsidR="00313B45" w:rsidTr="00424604">
        <w:trPr>
          <w:trHeight w:val="525"/>
          <w:jc w:val="center"/>
        </w:trPr>
        <w:tc>
          <w:tcPr>
            <w:tcW w:w="3235" w:type="dxa"/>
            <w:tcBorders>
              <w:left w:val="single" w:sz="12" w:space="0" w:color="auto"/>
              <w:right w:val="single" w:sz="12" w:space="0" w:color="auto"/>
            </w:tcBorders>
            <w:vAlign w:val="center"/>
          </w:tcPr>
          <w:p w:rsidR="00313B45" w:rsidRDefault="00313B45" w:rsidP="00BD789E">
            <w:pPr>
              <w:jc w:val="center"/>
            </w:pPr>
            <w:r>
              <w:t>ARC, PLC, LDP, and MLG payments – peanuts</w:t>
            </w:r>
          </w:p>
        </w:tc>
        <w:tc>
          <w:tcPr>
            <w:tcW w:w="3690" w:type="dxa"/>
            <w:tcBorders>
              <w:left w:val="single" w:sz="12" w:space="0" w:color="auto"/>
              <w:right w:val="single" w:sz="12" w:space="0" w:color="auto"/>
            </w:tcBorders>
            <w:vAlign w:val="center"/>
          </w:tcPr>
          <w:p w:rsidR="00313B45" w:rsidRDefault="00313B45" w:rsidP="00BD789E">
            <w:pPr>
              <w:jc w:val="center"/>
            </w:pPr>
            <w:r>
              <w:t>$125,000</w:t>
            </w:r>
          </w:p>
        </w:tc>
        <w:tc>
          <w:tcPr>
            <w:tcW w:w="2610" w:type="dxa"/>
            <w:tcBorders>
              <w:left w:val="single" w:sz="12" w:space="0" w:color="auto"/>
              <w:right w:val="single" w:sz="12" w:space="0" w:color="auto"/>
            </w:tcBorders>
            <w:vAlign w:val="center"/>
          </w:tcPr>
          <w:p w:rsidR="00313B45" w:rsidRDefault="00313B45" w:rsidP="00BD789E">
            <w:pPr>
              <w:jc w:val="center"/>
            </w:pPr>
            <w:r>
              <w:t xml:space="preserve">$125,000 </w:t>
            </w:r>
          </w:p>
          <w:p w:rsidR="00313B45" w:rsidRPr="00BD789E" w:rsidRDefault="00313B45" w:rsidP="00BD789E">
            <w:pPr>
              <w:jc w:val="center"/>
              <w:rPr>
                <w:i/>
              </w:rPr>
            </w:pPr>
            <w:r w:rsidRPr="00BD789E">
              <w:rPr>
                <w:i/>
                <w:sz w:val="20"/>
              </w:rPr>
              <w:t>now excludes LDPs and MLGs</w:t>
            </w:r>
          </w:p>
        </w:tc>
      </w:tr>
      <w:tr w:rsidR="00313B45" w:rsidTr="00424604">
        <w:trPr>
          <w:trHeight w:val="810"/>
          <w:jc w:val="center"/>
        </w:trPr>
        <w:tc>
          <w:tcPr>
            <w:tcW w:w="3235" w:type="dxa"/>
            <w:tcBorders>
              <w:left w:val="single" w:sz="12" w:space="0" w:color="auto"/>
              <w:right w:val="single" w:sz="12" w:space="0" w:color="auto"/>
            </w:tcBorders>
            <w:shd w:val="clear" w:color="auto" w:fill="F2F2F2" w:themeFill="background1" w:themeFillShade="F2"/>
            <w:vAlign w:val="center"/>
          </w:tcPr>
          <w:p w:rsidR="00313B45" w:rsidRDefault="00313B45" w:rsidP="00BD789E">
            <w:pPr>
              <w:jc w:val="center"/>
            </w:pPr>
            <w:r>
              <w:t>CRP – annual rental payment and incentive payment</w:t>
            </w:r>
          </w:p>
        </w:tc>
        <w:tc>
          <w:tcPr>
            <w:tcW w:w="3690" w:type="dxa"/>
            <w:tcBorders>
              <w:left w:val="single" w:sz="12" w:space="0" w:color="auto"/>
              <w:right w:val="single" w:sz="12" w:space="0" w:color="auto"/>
            </w:tcBorders>
            <w:shd w:val="clear" w:color="auto" w:fill="F2F2F2" w:themeFill="background1" w:themeFillShade="F2"/>
            <w:vAlign w:val="center"/>
          </w:tcPr>
          <w:p w:rsidR="00313B45" w:rsidRDefault="00313B45" w:rsidP="00BD789E">
            <w:pPr>
              <w:jc w:val="center"/>
            </w:pPr>
            <w:r>
              <w:t>$50,000</w:t>
            </w:r>
          </w:p>
        </w:tc>
        <w:tc>
          <w:tcPr>
            <w:tcW w:w="2610" w:type="dxa"/>
            <w:tcBorders>
              <w:left w:val="single" w:sz="12" w:space="0" w:color="auto"/>
              <w:right w:val="single" w:sz="12" w:space="0" w:color="auto"/>
            </w:tcBorders>
            <w:shd w:val="clear" w:color="auto" w:fill="F2F2F2" w:themeFill="background1" w:themeFillShade="F2"/>
            <w:vAlign w:val="center"/>
          </w:tcPr>
          <w:p w:rsidR="00313B45" w:rsidRDefault="00313B45" w:rsidP="00BD789E">
            <w:pPr>
              <w:jc w:val="center"/>
            </w:pPr>
            <w:r>
              <w:t>$50,000</w:t>
            </w:r>
          </w:p>
        </w:tc>
      </w:tr>
      <w:tr w:rsidR="00313B45" w:rsidTr="00424604">
        <w:trPr>
          <w:trHeight w:val="255"/>
          <w:jc w:val="center"/>
        </w:trPr>
        <w:tc>
          <w:tcPr>
            <w:tcW w:w="3235" w:type="dxa"/>
            <w:tcBorders>
              <w:left w:val="single" w:sz="12" w:space="0" w:color="auto"/>
              <w:right w:val="single" w:sz="12" w:space="0" w:color="auto"/>
            </w:tcBorders>
            <w:vAlign w:val="center"/>
          </w:tcPr>
          <w:p w:rsidR="00313B45" w:rsidRDefault="00313B45" w:rsidP="00BD789E">
            <w:pPr>
              <w:jc w:val="center"/>
            </w:pPr>
            <w:r>
              <w:t>ECP – per disaster event</w:t>
            </w:r>
          </w:p>
        </w:tc>
        <w:tc>
          <w:tcPr>
            <w:tcW w:w="3690" w:type="dxa"/>
            <w:tcBorders>
              <w:left w:val="single" w:sz="12" w:space="0" w:color="auto"/>
              <w:right w:val="single" w:sz="12" w:space="0" w:color="auto"/>
            </w:tcBorders>
            <w:vAlign w:val="center"/>
          </w:tcPr>
          <w:p w:rsidR="00313B45" w:rsidRDefault="00313B45" w:rsidP="00BD789E">
            <w:pPr>
              <w:jc w:val="center"/>
            </w:pPr>
            <w:r>
              <w:t>$200,000</w:t>
            </w:r>
          </w:p>
        </w:tc>
        <w:tc>
          <w:tcPr>
            <w:tcW w:w="2610" w:type="dxa"/>
            <w:tcBorders>
              <w:left w:val="single" w:sz="12" w:space="0" w:color="auto"/>
              <w:right w:val="single" w:sz="12" w:space="0" w:color="auto"/>
            </w:tcBorders>
            <w:vAlign w:val="center"/>
          </w:tcPr>
          <w:p w:rsidR="00313B45" w:rsidRDefault="00313B45" w:rsidP="00BD789E">
            <w:pPr>
              <w:jc w:val="center"/>
            </w:pPr>
            <w:r>
              <w:t>$500,000</w:t>
            </w:r>
          </w:p>
        </w:tc>
      </w:tr>
      <w:tr w:rsidR="00313B45" w:rsidTr="00424604">
        <w:trPr>
          <w:trHeight w:val="270"/>
          <w:jc w:val="center"/>
        </w:trPr>
        <w:tc>
          <w:tcPr>
            <w:tcW w:w="3235" w:type="dxa"/>
            <w:tcBorders>
              <w:left w:val="single" w:sz="12" w:space="0" w:color="auto"/>
              <w:right w:val="single" w:sz="12" w:space="0" w:color="auto"/>
            </w:tcBorders>
            <w:shd w:val="clear" w:color="auto" w:fill="F2F2F2" w:themeFill="background1" w:themeFillShade="F2"/>
            <w:vAlign w:val="center"/>
          </w:tcPr>
          <w:p w:rsidR="00313B45" w:rsidRDefault="00313B45" w:rsidP="00BD789E">
            <w:pPr>
              <w:jc w:val="center"/>
            </w:pPr>
            <w:r>
              <w:t>EFRP – per disaster event</w:t>
            </w:r>
          </w:p>
        </w:tc>
        <w:tc>
          <w:tcPr>
            <w:tcW w:w="3690" w:type="dxa"/>
            <w:tcBorders>
              <w:left w:val="single" w:sz="12" w:space="0" w:color="auto"/>
              <w:right w:val="single" w:sz="12" w:space="0" w:color="auto"/>
            </w:tcBorders>
            <w:shd w:val="clear" w:color="auto" w:fill="F2F2F2" w:themeFill="background1" w:themeFillShade="F2"/>
            <w:vAlign w:val="center"/>
          </w:tcPr>
          <w:p w:rsidR="00313B45" w:rsidRDefault="00313B45" w:rsidP="00BD789E">
            <w:pPr>
              <w:jc w:val="center"/>
            </w:pPr>
            <w:r>
              <w:t>$500,000</w:t>
            </w:r>
          </w:p>
        </w:tc>
        <w:tc>
          <w:tcPr>
            <w:tcW w:w="2610" w:type="dxa"/>
            <w:tcBorders>
              <w:left w:val="single" w:sz="12" w:space="0" w:color="auto"/>
              <w:right w:val="single" w:sz="12" w:space="0" w:color="auto"/>
            </w:tcBorders>
            <w:shd w:val="clear" w:color="auto" w:fill="F2F2F2" w:themeFill="background1" w:themeFillShade="F2"/>
            <w:vAlign w:val="center"/>
          </w:tcPr>
          <w:p w:rsidR="00313B45" w:rsidRDefault="00313B45" w:rsidP="00BD789E">
            <w:pPr>
              <w:jc w:val="center"/>
            </w:pPr>
            <w:r>
              <w:t>$500,000</w:t>
            </w:r>
          </w:p>
        </w:tc>
      </w:tr>
      <w:tr w:rsidR="00313B45" w:rsidTr="00424604">
        <w:trPr>
          <w:trHeight w:val="255"/>
          <w:jc w:val="center"/>
        </w:trPr>
        <w:tc>
          <w:tcPr>
            <w:tcW w:w="3235" w:type="dxa"/>
            <w:tcBorders>
              <w:left w:val="single" w:sz="12" w:space="0" w:color="auto"/>
              <w:right w:val="single" w:sz="12" w:space="0" w:color="auto"/>
            </w:tcBorders>
            <w:vAlign w:val="center"/>
          </w:tcPr>
          <w:p w:rsidR="00313B45" w:rsidRDefault="00313B45" w:rsidP="00BD789E">
            <w:pPr>
              <w:jc w:val="center"/>
            </w:pPr>
            <w:r>
              <w:t>ELAP, LFP, and LIP</w:t>
            </w:r>
          </w:p>
        </w:tc>
        <w:tc>
          <w:tcPr>
            <w:tcW w:w="3690" w:type="dxa"/>
            <w:tcBorders>
              <w:left w:val="single" w:sz="12" w:space="0" w:color="auto"/>
              <w:right w:val="single" w:sz="12" w:space="0" w:color="auto"/>
            </w:tcBorders>
            <w:vAlign w:val="center"/>
          </w:tcPr>
          <w:p w:rsidR="00313B45" w:rsidRDefault="00153101" w:rsidP="00BD789E">
            <w:pPr>
              <w:jc w:val="center"/>
            </w:pPr>
            <w:r>
              <w:t xml:space="preserve">A single </w:t>
            </w:r>
            <w:r w:rsidR="00313B45">
              <w:t>$125,000</w:t>
            </w:r>
            <w:r>
              <w:t xml:space="preserve"> limitation for ELAP, </w:t>
            </w:r>
            <w:r w:rsidR="004018DF">
              <w:t>LFP,</w:t>
            </w:r>
            <w:r>
              <w:t xml:space="preserve"> and LIP for each year 2014 - 2016; a single $125,000 limitation for ELAP and LFP for each of the 2017and 2018 years </w:t>
            </w:r>
          </w:p>
        </w:tc>
        <w:tc>
          <w:tcPr>
            <w:tcW w:w="2610" w:type="dxa"/>
            <w:tcBorders>
              <w:left w:val="single" w:sz="12" w:space="0" w:color="auto"/>
              <w:right w:val="single" w:sz="12" w:space="0" w:color="auto"/>
            </w:tcBorders>
            <w:vAlign w:val="center"/>
          </w:tcPr>
          <w:p w:rsidR="00313B45" w:rsidRPr="00313B45" w:rsidRDefault="00313B45" w:rsidP="00153101">
            <w:pPr>
              <w:jc w:val="center"/>
              <w:rPr>
                <w:i/>
              </w:rPr>
            </w:pPr>
            <w:r>
              <w:t>$125,000</w:t>
            </w:r>
            <w:r w:rsidR="00153101">
              <w:t xml:space="preserve"> for </w:t>
            </w:r>
            <w:r w:rsidR="00597526">
              <w:t xml:space="preserve">each of the </w:t>
            </w:r>
            <w:r w:rsidR="00153101">
              <w:t>2019 and</w:t>
            </w:r>
            <w:r w:rsidR="00597526">
              <w:t xml:space="preserve"> </w:t>
            </w:r>
            <w:r w:rsidR="00153101">
              <w:t>subsequent year</w:t>
            </w:r>
            <w:r w:rsidR="00597526">
              <w:t>s</w:t>
            </w:r>
            <w:r w:rsidR="00153101">
              <w:t xml:space="preserve"> for LFP</w:t>
            </w:r>
          </w:p>
        </w:tc>
      </w:tr>
      <w:tr w:rsidR="00313B45" w:rsidTr="00424604">
        <w:trPr>
          <w:trHeight w:val="270"/>
          <w:jc w:val="center"/>
        </w:trPr>
        <w:tc>
          <w:tcPr>
            <w:tcW w:w="3235" w:type="dxa"/>
            <w:tcBorders>
              <w:left w:val="single" w:sz="12" w:space="0" w:color="auto"/>
              <w:right w:val="single" w:sz="12" w:space="0" w:color="auto"/>
            </w:tcBorders>
            <w:shd w:val="clear" w:color="auto" w:fill="F2F2F2" w:themeFill="background1" w:themeFillShade="F2"/>
            <w:vAlign w:val="center"/>
          </w:tcPr>
          <w:p w:rsidR="00313B45" w:rsidRDefault="00313B45" w:rsidP="00313B45">
            <w:pPr>
              <w:jc w:val="center"/>
            </w:pPr>
            <w:r>
              <w:t>TAP</w:t>
            </w:r>
          </w:p>
        </w:tc>
        <w:tc>
          <w:tcPr>
            <w:tcW w:w="3690" w:type="dxa"/>
            <w:tcBorders>
              <w:left w:val="single" w:sz="12" w:space="0" w:color="auto"/>
              <w:right w:val="single" w:sz="12" w:space="0" w:color="auto"/>
            </w:tcBorders>
            <w:shd w:val="clear" w:color="auto" w:fill="F2F2F2" w:themeFill="background1" w:themeFillShade="F2"/>
            <w:vAlign w:val="center"/>
          </w:tcPr>
          <w:p w:rsidR="00313B45" w:rsidRDefault="00313B45" w:rsidP="00313B45">
            <w:pPr>
              <w:jc w:val="center"/>
            </w:pPr>
            <w:r>
              <w:t>500 acres and $125,000</w:t>
            </w:r>
            <w:r w:rsidR="00153101">
              <w:t xml:space="preserve"> for the 2014 – 2016 crop years and a 1,000 acre per year limitation for 2017 and subsequent years</w:t>
            </w:r>
          </w:p>
        </w:tc>
        <w:tc>
          <w:tcPr>
            <w:tcW w:w="2610" w:type="dxa"/>
            <w:tcBorders>
              <w:left w:val="single" w:sz="12" w:space="0" w:color="auto"/>
              <w:right w:val="single" w:sz="12" w:space="0" w:color="auto"/>
            </w:tcBorders>
            <w:shd w:val="clear" w:color="auto" w:fill="F2F2F2" w:themeFill="background1" w:themeFillShade="F2"/>
            <w:vAlign w:val="center"/>
          </w:tcPr>
          <w:p w:rsidR="00313B45" w:rsidRDefault="00313B45" w:rsidP="00313B45">
            <w:pPr>
              <w:jc w:val="center"/>
            </w:pPr>
            <w:r>
              <w:t>1,000 acre</w:t>
            </w:r>
            <w:r w:rsidR="00153101">
              <w:t xml:space="preserve"> per year limitation for 2017 and subsequent years</w:t>
            </w:r>
          </w:p>
          <w:p w:rsidR="00313B45" w:rsidRPr="00313B45" w:rsidRDefault="00313B45" w:rsidP="00313B45">
            <w:pPr>
              <w:jc w:val="center"/>
              <w:rPr>
                <w:i/>
              </w:rPr>
            </w:pPr>
          </w:p>
        </w:tc>
      </w:tr>
      <w:tr w:rsidR="00313B45" w:rsidTr="00424604">
        <w:trPr>
          <w:trHeight w:val="255"/>
          <w:jc w:val="center"/>
        </w:trPr>
        <w:tc>
          <w:tcPr>
            <w:tcW w:w="3235" w:type="dxa"/>
            <w:tcBorders>
              <w:left w:val="single" w:sz="12" w:space="0" w:color="auto"/>
              <w:bottom w:val="single" w:sz="12" w:space="0" w:color="auto"/>
              <w:right w:val="single" w:sz="12" w:space="0" w:color="auto"/>
            </w:tcBorders>
            <w:vAlign w:val="center"/>
          </w:tcPr>
          <w:p w:rsidR="00313B45" w:rsidRDefault="00313B45" w:rsidP="00313B45">
            <w:pPr>
              <w:jc w:val="center"/>
            </w:pPr>
            <w:r>
              <w:t>NAP</w:t>
            </w:r>
          </w:p>
        </w:tc>
        <w:tc>
          <w:tcPr>
            <w:tcW w:w="3690" w:type="dxa"/>
            <w:tcBorders>
              <w:left w:val="single" w:sz="12" w:space="0" w:color="auto"/>
              <w:bottom w:val="single" w:sz="12" w:space="0" w:color="auto"/>
              <w:right w:val="single" w:sz="12" w:space="0" w:color="auto"/>
            </w:tcBorders>
            <w:vAlign w:val="center"/>
          </w:tcPr>
          <w:p w:rsidR="00313B45" w:rsidRDefault="00313B45" w:rsidP="00313B45">
            <w:pPr>
              <w:jc w:val="center"/>
            </w:pPr>
            <w:r>
              <w:t>$125,000</w:t>
            </w:r>
          </w:p>
        </w:tc>
        <w:tc>
          <w:tcPr>
            <w:tcW w:w="2610" w:type="dxa"/>
            <w:tcBorders>
              <w:left w:val="single" w:sz="12" w:space="0" w:color="auto"/>
              <w:bottom w:val="single" w:sz="12" w:space="0" w:color="auto"/>
              <w:right w:val="single" w:sz="12" w:space="0" w:color="auto"/>
            </w:tcBorders>
            <w:vAlign w:val="center"/>
          </w:tcPr>
          <w:p w:rsidR="00313B45" w:rsidRDefault="00313B45" w:rsidP="00313B45">
            <w:pPr>
              <w:pStyle w:val="ListParagraph"/>
              <w:numPr>
                <w:ilvl w:val="0"/>
                <w:numId w:val="3"/>
              </w:numPr>
              <w:ind w:left="196" w:hanging="180"/>
            </w:pPr>
            <w:r>
              <w:t>Basic 50/55 coverage: $125,000</w:t>
            </w:r>
          </w:p>
          <w:p w:rsidR="00313B45" w:rsidRDefault="00313B45" w:rsidP="00313B45">
            <w:pPr>
              <w:pStyle w:val="ListParagraph"/>
              <w:numPr>
                <w:ilvl w:val="0"/>
                <w:numId w:val="3"/>
              </w:numPr>
              <w:ind w:left="196" w:hanging="180"/>
            </w:pPr>
            <w:r>
              <w:t>Buy-up coverage: $300,000</w:t>
            </w:r>
          </w:p>
        </w:tc>
      </w:tr>
    </w:tbl>
    <w:p w:rsidR="00BD789E" w:rsidRDefault="00BD789E" w:rsidP="00313B45">
      <w:pPr>
        <w:spacing w:after="0"/>
      </w:pPr>
    </w:p>
    <w:p w:rsidR="00025352" w:rsidRDefault="00025352" w:rsidP="00313B45">
      <w:pPr>
        <w:spacing w:after="0"/>
      </w:pPr>
    </w:p>
    <w:p w:rsidR="00424604" w:rsidRDefault="007362EE" w:rsidP="00424604">
      <w:pPr>
        <w:pStyle w:val="ListParagraph"/>
        <w:numPr>
          <w:ilvl w:val="0"/>
          <w:numId w:val="3"/>
        </w:numPr>
        <w:spacing w:after="0"/>
      </w:pPr>
      <w:r>
        <w:t xml:space="preserve">The definition of “family member” that is part of a farming operation has expanded to include first cousin, niece, and nephew to the existing list </w:t>
      </w:r>
      <w:r w:rsidR="008C5710">
        <w:t xml:space="preserve">which </w:t>
      </w:r>
      <w:r w:rsidR="00C16E18">
        <w:t xml:space="preserve">consists </w:t>
      </w:r>
      <w:r>
        <w:t xml:space="preserve">of </w:t>
      </w:r>
      <w:r w:rsidR="00C16E18">
        <w:t>great grandparent, grandparent, parent, child (including legally adopted children and stepchildren), grandchild, great grandchild, sibling of the family members in the farming operation, and spouse of family members</w:t>
      </w:r>
      <w:r w:rsidR="0003787B">
        <w:t xml:space="preserve">. </w:t>
      </w:r>
      <w:r w:rsidR="00C16E18">
        <w:t xml:space="preserve">This term is used to </w:t>
      </w:r>
      <w:r w:rsidR="007E7C6E">
        <w:t>identify</w:t>
      </w:r>
      <w:r w:rsidR="00C16E18">
        <w:t xml:space="preserve"> joint operation</w:t>
      </w:r>
      <w:r w:rsidR="007E7C6E">
        <w:t>s</w:t>
      </w:r>
      <w:r w:rsidR="00C16E18">
        <w:t xml:space="preserve"> </w:t>
      </w:r>
      <w:r w:rsidR="007E7C6E">
        <w:t xml:space="preserve">that are </w:t>
      </w:r>
      <w:r w:rsidR="00C16E18">
        <w:t>comprised entirely o</w:t>
      </w:r>
      <w:r w:rsidR="007E7C6E">
        <w:t>f</w:t>
      </w:r>
      <w:r w:rsidR="00C16E18">
        <w:t xml:space="preserve"> family members, which are not subject to the restriction on the number of </w:t>
      </w:r>
      <w:r w:rsidR="003850FE">
        <w:t>members</w:t>
      </w:r>
      <w:r w:rsidR="00C16E18">
        <w:t xml:space="preserve"> </w:t>
      </w:r>
      <w:r w:rsidR="003850FE">
        <w:t>that may qualify as actively engaged in farming.</w:t>
      </w:r>
    </w:p>
    <w:p w:rsidR="00D00EFA" w:rsidRDefault="00D00EFA" w:rsidP="00375D20">
      <w:pPr>
        <w:spacing w:after="0"/>
      </w:pPr>
    </w:p>
    <w:p w:rsidR="00D00EFA" w:rsidRPr="00025352" w:rsidRDefault="00D00EFA" w:rsidP="00B63F29">
      <w:pPr>
        <w:spacing w:after="0"/>
        <w:ind w:left="360" w:hanging="360"/>
        <w:rPr>
          <w:b/>
        </w:rPr>
      </w:pPr>
      <w:r w:rsidRPr="00025352">
        <w:rPr>
          <w:b/>
        </w:rPr>
        <w:t>A</w:t>
      </w:r>
      <w:r w:rsidR="004018DF" w:rsidRPr="00025352">
        <w:rPr>
          <w:b/>
        </w:rPr>
        <w:t>griculture Risk Coverage (A</w:t>
      </w:r>
      <w:r w:rsidRPr="00025352">
        <w:rPr>
          <w:b/>
        </w:rPr>
        <w:t>RC</w:t>
      </w:r>
      <w:r w:rsidR="004018DF" w:rsidRPr="00025352">
        <w:rPr>
          <w:b/>
        </w:rPr>
        <w:t>)</w:t>
      </w:r>
      <w:r w:rsidRPr="00025352">
        <w:rPr>
          <w:b/>
        </w:rPr>
        <w:t xml:space="preserve"> and </w:t>
      </w:r>
      <w:r w:rsidR="004018DF" w:rsidRPr="00025352">
        <w:rPr>
          <w:b/>
        </w:rPr>
        <w:t>Price Loss Coverage (</w:t>
      </w:r>
      <w:r w:rsidRPr="00025352">
        <w:rPr>
          <w:b/>
        </w:rPr>
        <w:t>PLC</w:t>
      </w:r>
      <w:r w:rsidR="004018DF" w:rsidRPr="00025352">
        <w:rPr>
          <w:b/>
        </w:rPr>
        <w:t xml:space="preserve">) </w:t>
      </w:r>
    </w:p>
    <w:p w:rsidR="00EA2D48" w:rsidRDefault="007362EE" w:rsidP="00EA2D48">
      <w:pPr>
        <w:pStyle w:val="ListParagraph"/>
        <w:numPr>
          <w:ilvl w:val="0"/>
          <w:numId w:val="3"/>
        </w:numPr>
        <w:spacing w:after="0"/>
      </w:pPr>
      <w:r>
        <w:t>C</w:t>
      </w:r>
      <w:r w:rsidR="00DC470D">
        <w:t>overed commodities include wheat, oats, barley, corn, grain sorghum, rice, soybeans, sunflower seed, rapeseed, canola, safflower, flaxseed, mustard seed, crambe, sesame seed, dry peas, lentils, small chickpeas, large chickpeas, peanuts, and seed cotton.</w:t>
      </w:r>
    </w:p>
    <w:p w:rsidR="00B21193" w:rsidRDefault="00DC470D" w:rsidP="00B21193">
      <w:pPr>
        <w:pStyle w:val="ListParagraph"/>
        <w:numPr>
          <w:ilvl w:val="0"/>
          <w:numId w:val="3"/>
        </w:numPr>
      </w:pPr>
      <w:r>
        <w:t>Producers m</w:t>
      </w:r>
      <w:r w:rsidR="00136689">
        <w:t xml:space="preserve">ust </w:t>
      </w:r>
      <w:r>
        <w:t xml:space="preserve">make a one-time irrevocable election between </w:t>
      </w:r>
      <w:r w:rsidR="007362EE">
        <w:t xml:space="preserve">ARC and PLC that applies to </w:t>
      </w:r>
      <w:r w:rsidR="00AE657F">
        <w:t xml:space="preserve">2019 </w:t>
      </w:r>
      <w:r w:rsidR="00BD5AD2">
        <w:t>and 2020.  A</w:t>
      </w:r>
      <w:r w:rsidR="008172A5">
        <w:t xml:space="preserve"> farm’s</w:t>
      </w:r>
      <w:r w:rsidR="00B21193" w:rsidRPr="00B21193">
        <w:t xml:space="preserve"> election may be changed annually for 2021, 2022, and 2023 crop years.  </w:t>
      </w:r>
    </w:p>
    <w:p w:rsidR="00B21193" w:rsidRDefault="00B21193">
      <w:pPr>
        <w:pStyle w:val="ListParagraph"/>
        <w:numPr>
          <w:ilvl w:val="0"/>
          <w:numId w:val="3"/>
        </w:numPr>
      </w:pPr>
      <w:r>
        <w:lastRenderedPageBreak/>
        <w:t>The failure of producers on a farm to make a unanimous election in 2019 will result in the farm not being eligible for 2019 payments</w:t>
      </w:r>
      <w:r w:rsidR="0003787B">
        <w:t xml:space="preserve">. </w:t>
      </w:r>
      <w:r w:rsidR="008D32CB">
        <w:t>For the 2020-</w:t>
      </w:r>
      <w:r w:rsidR="0003787B">
        <w:t>20</w:t>
      </w:r>
      <w:r w:rsidR="008D32CB">
        <w:t>23 crops, unless they make new elections, they are deemed to have made the same election as they did for the 2015-</w:t>
      </w:r>
      <w:r w:rsidR="0003787B">
        <w:t>20</w:t>
      </w:r>
      <w:r w:rsidR="008D32CB">
        <w:t>18 crop years.</w:t>
      </w:r>
    </w:p>
    <w:p w:rsidR="00BE6424" w:rsidRDefault="00BE6424" w:rsidP="008D32CB">
      <w:pPr>
        <w:pStyle w:val="ListParagraph"/>
        <w:numPr>
          <w:ilvl w:val="0"/>
          <w:numId w:val="3"/>
        </w:numPr>
      </w:pPr>
      <w:r w:rsidRPr="00BE6424">
        <w:t xml:space="preserve">Farms that devoted their entire cropland </w:t>
      </w:r>
      <w:r w:rsidR="00BD5AD2">
        <w:t>acres</w:t>
      </w:r>
      <w:r w:rsidRPr="00BE6424">
        <w:t xml:space="preserve"> to</w:t>
      </w:r>
      <w:r>
        <w:t xml:space="preserve"> </w:t>
      </w:r>
      <w:r w:rsidRPr="00BE6424">
        <w:t>being planted to grass, or idle or fallow from Jan</w:t>
      </w:r>
      <w:r w:rsidR="0003787B">
        <w:t>.</w:t>
      </w:r>
      <w:r w:rsidRPr="00BE6424">
        <w:t xml:space="preserve"> 1, 2009, through Dec</w:t>
      </w:r>
      <w:r w:rsidR="0003787B">
        <w:t>.</w:t>
      </w:r>
      <w:r w:rsidRPr="00BE6424">
        <w:t xml:space="preserve"> 31, 2017, are ineligible </w:t>
      </w:r>
      <w:r w:rsidR="00F3344E">
        <w:t xml:space="preserve">to </w:t>
      </w:r>
      <w:r w:rsidRPr="00BE6424">
        <w:t>receive ARC</w:t>
      </w:r>
      <w:r w:rsidR="000D141D">
        <w:t>/</w:t>
      </w:r>
      <w:r w:rsidRPr="00BE6424">
        <w:t>PLC payments from 2019 through 2023.</w:t>
      </w:r>
      <w:r w:rsidR="0003787B">
        <w:t xml:space="preserve"> </w:t>
      </w:r>
      <w:r w:rsidR="008D32CB">
        <w:t>These farms may be eligible for the Grassland Conservation Initiative program administered by NRCS.</w:t>
      </w:r>
    </w:p>
    <w:p w:rsidR="00EA2D48" w:rsidRDefault="00A374CC" w:rsidP="00EA2D48">
      <w:pPr>
        <w:pStyle w:val="ListParagraph"/>
        <w:numPr>
          <w:ilvl w:val="0"/>
          <w:numId w:val="3"/>
        </w:numPr>
        <w:spacing w:after="0"/>
      </w:pPr>
      <w:r>
        <w:t>Producers on</w:t>
      </w:r>
      <w:r w:rsidR="007B1BFC">
        <w:t xml:space="preserve"> a farm that ha</w:t>
      </w:r>
      <w:r w:rsidR="00122179">
        <w:t>ve</w:t>
      </w:r>
      <w:r w:rsidR="007B1BFC">
        <w:t xml:space="preserve"> </w:t>
      </w:r>
      <w:r w:rsidR="0003787B">
        <w:t>10</w:t>
      </w:r>
      <w:r w:rsidR="007B1BFC">
        <w:t xml:space="preserve"> or less base acres are ineligible for ARC</w:t>
      </w:r>
      <w:r w:rsidR="000D141D">
        <w:t>/</w:t>
      </w:r>
      <w:r w:rsidR="007B1BFC">
        <w:t xml:space="preserve">PLC payments on that farm </w:t>
      </w:r>
      <w:r w:rsidR="00F3344E">
        <w:t>except if the</w:t>
      </w:r>
      <w:r w:rsidR="007B1BFC">
        <w:t xml:space="preserve"> producer </w:t>
      </w:r>
      <w:r w:rsidR="00A567BA">
        <w:t xml:space="preserve">is </w:t>
      </w:r>
      <w:r w:rsidR="00F919FA">
        <w:t>a socially</w:t>
      </w:r>
      <w:r w:rsidR="00A567BA">
        <w:t xml:space="preserve"> disadvantaged, limited resource, or beginning </w:t>
      </w:r>
      <w:r w:rsidR="007B1BFC">
        <w:t>farmer or rancher</w:t>
      </w:r>
      <w:r w:rsidR="00730CBC">
        <w:t>. Another exception to this provision applies if the s</w:t>
      </w:r>
      <w:r w:rsidR="007B1BFC" w:rsidRPr="007B1BFC">
        <w:t>um of the base acres on the farm, when combined with the base acres of other farms in which</w:t>
      </w:r>
      <w:r w:rsidR="00122179">
        <w:t xml:space="preserve"> </w:t>
      </w:r>
      <w:r w:rsidR="007B1BFC" w:rsidRPr="007B1BFC">
        <w:t>th</w:t>
      </w:r>
      <w:r w:rsidR="00730CBC">
        <w:t>e</w:t>
      </w:r>
      <w:r w:rsidR="00122179">
        <w:t xml:space="preserve"> </w:t>
      </w:r>
      <w:r w:rsidR="007B1BFC" w:rsidRPr="007B1BFC">
        <w:t>producer has an interest, is more than 10 acres</w:t>
      </w:r>
      <w:r w:rsidR="00122179">
        <w:t>.</w:t>
      </w:r>
    </w:p>
    <w:p w:rsidR="00EA2D48" w:rsidRPr="00BD5AD2" w:rsidRDefault="00F3344E" w:rsidP="00EA2D48">
      <w:pPr>
        <w:pStyle w:val="ListParagraph"/>
        <w:numPr>
          <w:ilvl w:val="0"/>
          <w:numId w:val="3"/>
        </w:numPr>
        <w:spacing w:after="0"/>
        <w:rPr>
          <w:b/>
        </w:rPr>
      </w:pPr>
      <w:r w:rsidRPr="00BD5AD2">
        <w:rPr>
          <w:b/>
        </w:rPr>
        <w:t>County Agriculture Risk Coverage (ARC-CO)</w:t>
      </w:r>
    </w:p>
    <w:p w:rsidR="00EA2D48" w:rsidRDefault="00C71337" w:rsidP="00EA2D48">
      <w:pPr>
        <w:pStyle w:val="ListParagraph"/>
        <w:numPr>
          <w:ilvl w:val="1"/>
          <w:numId w:val="3"/>
        </w:numPr>
        <w:spacing w:after="0"/>
      </w:pPr>
      <w:r w:rsidRPr="00C71337">
        <w:t>Payments are issued when the actual county crop revenue of a covered commodity is less than the ARC</w:t>
      </w:r>
      <w:r w:rsidR="00F34A87">
        <w:t>-CO</w:t>
      </w:r>
      <w:r w:rsidRPr="00C71337">
        <w:t xml:space="preserve"> guarantee f</w:t>
      </w:r>
      <w:r w:rsidR="00B338D9">
        <w:t>or the covered commodity</w:t>
      </w:r>
      <w:r w:rsidR="00F34A87">
        <w:t>.</w:t>
      </w:r>
      <w:r w:rsidR="00B338D9">
        <w:t xml:space="preserve"> </w:t>
      </w:r>
      <w:r w:rsidR="00F34A87">
        <w:t>Y</w:t>
      </w:r>
      <w:r w:rsidR="00B338D9">
        <w:t>ields</w:t>
      </w:r>
      <w:r w:rsidRPr="00C71337">
        <w:t xml:space="preserve"> </w:t>
      </w:r>
      <w:r w:rsidR="00F34A87">
        <w:t xml:space="preserve">are </w:t>
      </w:r>
      <w:r w:rsidRPr="00C71337">
        <w:t xml:space="preserve">based on county data, not farm data.  </w:t>
      </w:r>
    </w:p>
    <w:p w:rsidR="008D32CB" w:rsidRDefault="008D32CB" w:rsidP="00EA2D48">
      <w:pPr>
        <w:pStyle w:val="ListParagraph"/>
        <w:numPr>
          <w:ilvl w:val="1"/>
          <w:numId w:val="3"/>
        </w:numPr>
        <w:spacing w:after="0"/>
      </w:pPr>
      <w:r>
        <w:t xml:space="preserve">The actual or benchmark county yield for a county will be based on RMA yields established for a </w:t>
      </w:r>
      <w:r w:rsidR="00530FC6">
        <w:t>county-</w:t>
      </w:r>
      <w:r>
        <w:t>wide insurance product, if available.</w:t>
      </w:r>
    </w:p>
    <w:p w:rsidR="008D32CB" w:rsidRDefault="008D32CB" w:rsidP="00EA2D48">
      <w:pPr>
        <w:pStyle w:val="ListParagraph"/>
        <w:numPr>
          <w:ilvl w:val="1"/>
          <w:numId w:val="3"/>
        </w:numPr>
        <w:spacing w:after="0"/>
      </w:pPr>
      <w:r>
        <w:t>Payments will be based on physical location of the farm.</w:t>
      </w:r>
    </w:p>
    <w:p w:rsidR="008D32CB" w:rsidRPr="00630D9E" w:rsidRDefault="008D32CB" w:rsidP="00EA2D48">
      <w:pPr>
        <w:pStyle w:val="ListParagraph"/>
        <w:numPr>
          <w:ilvl w:val="1"/>
          <w:numId w:val="3"/>
        </w:numPr>
        <w:spacing w:after="0"/>
      </w:pPr>
      <w:r>
        <w:t>A separate actual crop revenue and guarantee will be established for irrigated and nonirrigated covered commodities.</w:t>
      </w:r>
    </w:p>
    <w:p w:rsidR="00EA2D48" w:rsidRPr="00BD5AD2" w:rsidRDefault="00F34A87" w:rsidP="00EA2D48">
      <w:pPr>
        <w:pStyle w:val="ListParagraph"/>
        <w:numPr>
          <w:ilvl w:val="0"/>
          <w:numId w:val="3"/>
        </w:numPr>
        <w:spacing w:after="0"/>
        <w:rPr>
          <w:b/>
        </w:rPr>
      </w:pPr>
      <w:r w:rsidRPr="00BD5AD2">
        <w:rPr>
          <w:b/>
        </w:rPr>
        <w:t xml:space="preserve">Individual Agriculture Risk Coverage </w:t>
      </w:r>
      <w:r w:rsidR="00F3344E" w:rsidRPr="00BD5AD2">
        <w:rPr>
          <w:b/>
        </w:rPr>
        <w:t>(</w:t>
      </w:r>
      <w:r w:rsidR="008741E6" w:rsidRPr="00BD5AD2">
        <w:rPr>
          <w:b/>
        </w:rPr>
        <w:t>ARC-IC</w:t>
      </w:r>
      <w:r w:rsidR="00F3344E" w:rsidRPr="00BD5AD2">
        <w:rPr>
          <w:b/>
        </w:rPr>
        <w:t>)</w:t>
      </w:r>
    </w:p>
    <w:p w:rsidR="008741E6" w:rsidRDefault="00E50607" w:rsidP="00EA2D48">
      <w:pPr>
        <w:pStyle w:val="ListParagraph"/>
        <w:numPr>
          <w:ilvl w:val="1"/>
          <w:numId w:val="3"/>
        </w:numPr>
        <w:spacing w:after="0"/>
      </w:pPr>
      <w:r>
        <w:t xml:space="preserve">Payments are issued when the </w:t>
      </w:r>
      <w:r w:rsidR="00B338D9">
        <w:t xml:space="preserve">producer’s </w:t>
      </w:r>
      <w:r>
        <w:t xml:space="preserve">actual individual crop revenues, summed across all covered commodities </w:t>
      </w:r>
      <w:r w:rsidR="00B338D9">
        <w:t xml:space="preserve">planted </w:t>
      </w:r>
      <w:r>
        <w:t xml:space="preserve">on the farm, are less than ARC individual guarantees summed across those covered commodities on the farm. </w:t>
      </w:r>
    </w:p>
    <w:p w:rsidR="00EA2D48" w:rsidRPr="00BD5AD2" w:rsidRDefault="004018DF" w:rsidP="00EA2D48">
      <w:pPr>
        <w:pStyle w:val="ListParagraph"/>
        <w:numPr>
          <w:ilvl w:val="0"/>
          <w:numId w:val="3"/>
        </w:numPr>
        <w:spacing w:after="0"/>
        <w:rPr>
          <w:b/>
        </w:rPr>
      </w:pPr>
      <w:r w:rsidRPr="00BD5AD2">
        <w:rPr>
          <w:b/>
        </w:rPr>
        <w:t>P</w:t>
      </w:r>
      <w:r w:rsidR="008741E6" w:rsidRPr="00BD5AD2">
        <w:rPr>
          <w:b/>
        </w:rPr>
        <w:t>LC</w:t>
      </w:r>
    </w:p>
    <w:p w:rsidR="00EA2D48" w:rsidRDefault="001F01AE" w:rsidP="00EA2D48">
      <w:pPr>
        <w:pStyle w:val="ListParagraph"/>
        <w:numPr>
          <w:ilvl w:val="1"/>
          <w:numId w:val="3"/>
        </w:numPr>
        <w:spacing w:after="0"/>
      </w:pPr>
      <w:r>
        <w:t>For 2019-2023, payments are issued when the effective reference price is greater than</w:t>
      </w:r>
      <w:r w:rsidR="00B338D9">
        <w:t xml:space="preserve"> the applicable effective price for the crop year.</w:t>
      </w:r>
    </w:p>
    <w:p w:rsidR="00BE6424" w:rsidRDefault="00BE6424" w:rsidP="00BE6424">
      <w:pPr>
        <w:pStyle w:val="ListParagraph"/>
        <w:numPr>
          <w:ilvl w:val="1"/>
          <w:numId w:val="3"/>
        </w:numPr>
        <w:spacing w:after="0"/>
      </w:pPr>
      <w:r>
        <w:t xml:space="preserve">The effective reference price for a covered commodity for a crop year will be calculated as the lesser of: </w:t>
      </w:r>
    </w:p>
    <w:p w:rsidR="00BE6424" w:rsidRDefault="00BE6424" w:rsidP="00BE6424">
      <w:pPr>
        <w:pStyle w:val="ListParagraph"/>
        <w:numPr>
          <w:ilvl w:val="2"/>
          <w:numId w:val="3"/>
        </w:numPr>
        <w:spacing w:after="0"/>
      </w:pPr>
      <w:r>
        <w:t xml:space="preserve">115 percent of the reference price, or </w:t>
      </w:r>
    </w:p>
    <w:p w:rsidR="00BE6424" w:rsidRDefault="00BE6424" w:rsidP="00BE6424">
      <w:pPr>
        <w:pStyle w:val="ListParagraph"/>
        <w:numPr>
          <w:ilvl w:val="2"/>
          <w:numId w:val="3"/>
        </w:numPr>
        <w:spacing w:after="0"/>
      </w:pPr>
      <w:r>
        <w:t xml:space="preserve">the greater of: </w:t>
      </w:r>
    </w:p>
    <w:p w:rsidR="00BE6424" w:rsidRDefault="00BE6424" w:rsidP="00BE6424">
      <w:pPr>
        <w:pStyle w:val="ListParagraph"/>
        <w:numPr>
          <w:ilvl w:val="3"/>
          <w:numId w:val="3"/>
        </w:numPr>
        <w:spacing w:after="0"/>
      </w:pPr>
      <w:r>
        <w:t xml:space="preserve">the reference price, or </w:t>
      </w:r>
    </w:p>
    <w:p w:rsidR="00BE6424" w:rsidRDefault="00BE6424" w:rsidP="00BE6424">
      <w:pPr>
        <w:pStyle w:val="ListParagraph"/>
        <w:numPr>
          <w:ilvl w:val="3"/>
          <w:numId w:val="3"/>
        </w:numPr>
        <w:spacing w:after="0"/>
      </w:pPr>
      <w:r>
        <w:t>85 percent of the previous five-year Olympic average of the marketing year price.</w:t>
      </w:r>
    </w:p>
    <w:p w:rsidR="00BE6424" w:rsidRDefault="00BE6424" w:rsidP="00EA2D48">
      <w:pPr>
        <w:pStyle w:val="ListParagraph"/>
        <w:numPr>
          <w:ilvl w:val="1"/>
          <w:numId w:val="3"/>
        </w:numPr>
        <w:spacing w:after="0"/>
      </w:pPr>
      <w:bookmarkStart w:id="1" w:name="_Hlk1021442"/>
      <w:r>
        <w:t>Owners can</w:t>
      </w:r>
      <w:r w:rsidR="009125CB">
        <w:t xml:space="preserve"> update the farm’s </w:t>
      </w:r>
      <w:r w:rsidR="00E50607">
        <w:t xml:space="preserve">PLC payment yield beginning with the 2020 crop year. </w:t>
      </w:r>
      <w:bookmarkEnd w:id="1"/>
      <w:r w:rsidR="00E50607">
        <w:t xml:space="preserve">The </w:t>
      </w:r>
      <w:r w:rsidR="009125CB">
        <w:t>formula to update yields is</w:t>
      </w:r>
      <w:r>
        <w:t xml:space="preserve"> PLC payment is equal to</w:t>
      </w:r>
      <w:r w:rsidR="00530FC6">
        <w:t>:</w:t>
      </w:r>
    </w:p>
    <w:p w:rsidR="00BE6424" w:rsidRDefault="00BE6424" w:rsidP="00BE6424">
      <w:pPr>
        <w:pStyle w:val="ListParagraph"/>
        <w:numPr>
          <w:ilvl w:val="2"/>
          <w:numId w:val="3"/>
        </w:numPr>
        <w:spacing w:after="0"/>
      </w:pPr>
      <w:r>
        <w:t>The product obtained, times</w:t>
      </w:r>
    </w:p>
    <w:p w:rsidR="00BE6424" w:rsidRDefault="00B338D9" w:rsidP="00BE6424">
      <w:pPr>
        <w:pStyle w:val="ListParagraph"/>
        <w:numPr>
          <w:ilvl w:val="2"/>
          <w:numId w:val="3"/>
        </w:numPr>
        <w:spacing w:after="0"/>
      </w:pPr>
      <w:r w:rsidRPr="00B338D9">
        <w:t xml:space="preserve">90 percent of the average yield per planted acre on the farm for the 2013 through 2017 crop years, excluding any crop year where the crop was not planted (if in any year where the crop was planted, the farm’s yield is below 75 percent of the county average, use 75 </w:t>
      </w:r>
      <w:r w:rsidR="00BE6424">
        <w:t>percent of the county average), times</w:t>
      </w:r>
    </w:p>
    <w:p w:rsidR="00BE6424" w:rsidRDefault="00BE6424" w:rsidP="00BE6424">
      <w:pPr>
        <w:pStyle w:val="ListParagraph"/>
        <w:numPr>
          <w:ilvl w:val="2"/>
          <w:numId w:val="3"/>
        </w:numPr>
        <w:spacing w:after="0"/>
      </w:pPr>
      <w:r>
        <w:t>T</w:t>
      </w:r>
      <w:r w:rsidR="00B338D9" w:rsidRPr="00B338D9">
        <w:t>he national yield for th</w:t>
      </w:r>
      <w:r>
        <w:t xml:space="preserve">e covered commodity </w:t>
      </w:r>
      <w:r w:rsidR="00F34A87">
        <w:t xml:space="preserve">from </w:t>
      </w:r>
      <w:r>
        <w:t>2008-2012, divided by</w:t>
      </w:r>
    </w:p>
    <w:p w:rsidR="00BE6424" w:rsidRDefault="00BE6424" w:rsidP="00BE6424">
      <w:pPr>
        <w:pStyle w:val="ListParagraph"/>
        <w:numPr>
          <w:ilvl w:val="2"/>
          <w:numId w:val="3"/>
        </w:numPr>
        <w:spacing w:after="0"/>
      </w:pPr>
      <w:r>
        <w:t>T</w:t>
      </w:r>
      <w:r w:rsidR="00B338D9" w:rsidRPr="00B338D9">
        <w:t>he national yield for the</w:t>
      </w:r>
      <w:r>
        <w:t xml:space="preserve"> covered commodity </w:t>
      </w:r>
      <w:r w:rsidR="00F34A87">
        <w:t>from</w:t>
      </w:r>
      <w:r w:rsidR="00530FC6">
        <w:t xml:space="preserve"> </w:t>
      </w:r>
      <w:r>
        <w:t>2013-2017</w:t>
      </w:r>
    </w:p>
    <w:p w:rsidR="00B338D9" w:rsidRPr="00B338D9" w:rsidRDefault="00BE6424" w:rsidP="00BE6424">
      <w:pPr>
        <w:pStyle w:val="ListParagraph"/>
        <w:numPr>
          <w:ilvl w:val="3"/>
          <w:numId w:val="3"/>
        </w:numPr>
        <w:spacing w:after="0"/>
      </w:pPr>
      <w:r>
        <w:t>this ratio cannot be</w:t>
      </w:r>
      <w:r w:rsidR="00B338D9" w:rsidRPr="00B338D9">
        <w:t xml:space="preserve"> less than</w:t>
      </w:r>
      <w:r>
        <w:t xml:space="preserve"> </w:t>
      </w:r>
      <w:r w:rsidR="00B338D9" w:rsidRPr="00B338D9">
        <w:t>90 percen</w:t>
      </w:r>
      <w:r>
        <w:t xml:space="preserve">t </w:t>
      </w:r>
      <w:r w:rsidR="00F34A87">
        <w:t>nor</w:t>
      </w:r>
      <w:r>
        <w:t xml:space="preserve"> greater than 100 percent</w:t>
      </w:r>
    </w:p>
    <w:p w:rsidR="008741E6" w:rsidRDefault="008741E6" w:rsidP="00715F48">
      <w:pPr>
        <w:spacing w:after="0"/>
      </w:pPr>
    </w:p>
    <w:p w:rsidR="009125CB" w:rsidRPr="00424604" w:rsidRDefault="009125CB" w:rsidP="00A374CC">
      <w:pPr>
        <w:spacing w:after="0"/>
        <w:rPr>
          <w:b/>
        </w:rPr>
      </w:pPr>
      <w:r w:rsidRPr="00424604">
        <w:rPr>
          <w:b/>
        </w:rPr>
        <w:t xml:space="preserve">Commodity Loans </w:t>
      </w:r>
    </w:p>
    <w:p w:rsidR="00424604" w:rsidRDefault="007445DF" w:rsidP="00A374CC">
      <w:pPr>
        <w:pStyle w:val="ListParagraph"/>
        <w:numPr>
          <w:ilvl w:val="0"/>
          <w:numId w:val="11"/>
        </w:numPr>
        <w:spacing w:after="0"/>
      </w:pPr>
      <w:r>
        <w:t>The 2018 Farm Bill</w:t>
      </w:r>
      <w:r w:rsidR="00715F48">
        <w:t xml:space="preserve"> extends </w:t>
      </w:r>
      <w:r w:rsidR="009125CB">
        <w:t xml:space="preserve">loan </w:t>
      </w:r>
      <w:r w:rsidR="00715F48">
        <w:t xml:space="preserve">authority </w:t>
      </w:r>
      <w:r w:rsidR="005B5D69">
        <w:t xml:space="preserve">through 2023 </w:t>
      </w:r>
      <w:r w:rsidR="00715F48">
        <w:t>for</w:t>
      </w:r>
      <w:r w:rsidR="00A374CC">
        <w:t xml:space="preserve"> wheat, corn, grain sorghum, barley, oats, upland cotton, extra-long staple (ELS) cotton, long grain rice, medium/short grain rice, soybean, other oilseeds (sunflower seed, flaxseed, canola, rapeseed, safflower seed, mustard seed, crambe, and sesame seed), dry peas, </w:t>
      </w:r>
    </w:p>
    <w:p w:rsidR="009125CB" w:rsidRDefault="00A374CC" w:rsidP="00424604">
      <w:pPr>
        <w:pStyle w:val="ListParagraph"/>
        <w:spacing w:after="0"/>
      </w:pPr>
      <w:r>
        <w:t>lentils, small chickpeas</w:t>
      </w:r>
      <w:r w:rsidR="009125CB">
        <w:t xml:space="preserve">, </w:t>
      </w:r>
      <w:r>
        <w:t>large chickpeas, graded and nongraded wool, mohair, honey, peanuts</w:t>
      </w:r>
      <w:r w:rsidR="00530FC6">
        <w:t>,</w:t>
      </w:r>
      <w:r>
        <w:t xml:space="preserve"> </w:t>
      </w:r>
      <w:r w:rsidR="009125CB">
        <w:t xml:space="preserve">and </w:t>
      </w:r>
      <w:r w:rsidR="00715F48">
        <w:t>sugars</w:t>
      </w:r>
      <w:r>
        <w:t xml:space="preserve"> (beet and cane)</w:t>
      </w:r>
      <w:r w:rsidR="009125CB">
        <w:t>.</w:t>
      </w:r>
    </w:p>
    <w:p w:rsidR="00BD5AD2" w:rsidRDefault="00BD5AD2" w:rsidP="00424604">
      <w:pPr>
        <w:pStyle w:val="ListParagraph"/>
        <w:spacing w:after="0"/>
      </w:pPr>
    </w:p>
    <w:p w:rsidR="00BD5AD2" w:rsidRDefault="00BD5AD2" w:rsidP="00424604">
      <w:pPr>
        <w:pStyle w:val="ListParagraph"/>
        <w:spacing w:after="0"/>
      </w:pPr>
    </w:p>
    <w:p w:rsidR="009125CB" w:rsidRDefault="009125CB" w:rsidP="00715F48">
      <w:pPr>
        <w:pStyle w:val="ListParagraph"/>
        <w:numPr>
          <w:ilvl w:val="0"/>
          <w:numId w:val="5"/>
        </w:numPr>
        <w:spacing w:after="0"/>
      </w:pPr>
      <w:r>
        <w:t xml:space="preserve">LDPs and MLGs are available through </w:t>
      </w:r>
      <w:r w:rsidR="00715F48">
        <w:t xml:space="preserve">2023 </w:t>
      </w:r>
      <w:r w:rsidR="00210CFC">
        <w:t>and are no longer subject to payment limitation</w:t>
      </w:r>
      <w:r w:rsidR="00AE657F">
        <w:t xml:space="preserve"> or payment eligibility, including actively engaged in farming</w:t>
      </w:r>
      <w:r w:rsidR="00210CFC">
        <w:t>.</w:t>
      </w:r>
    </w:p>
    <w:p w:rsidR="00FF76DD" w:rsidRPr="00A315CC" w:rsidRDefault="00FF76DD" w:rsidP="00FF76DD">
      <w:pPr>
        <w:pStyle w:val="ListParagraph"/>
        <w:numPr>
          <w:ilvl w:val="0"/>
          <w:numId w:val="5"/>
        </w:numPr>
        <w:spacing w:after="0" w:line="240" w:lineRule="auto"/>
        <w:contextualSpacing w:val="0"/>
        <w:rPr>
          <w:rFonts w:eastAsia="Times New Roman"/>
        </w:rPr>
      </w:pPr>
      <w:r>
        <w:t xml:space="preserve">Contaminated commodities, which contain </w:t>
      </w:r>
      <w:r w:rsidRPr="008D32CB">
        <w:rPr>
          <w:rFonts w:eastAsia="Times New Roman"/>
        </w:rPr>
        <w:t xml:space="preserve">mercurial compounds, toxin producing molds, such as aflatoxin, other substances poisonous to humans or animals, or any contamination in food commodities, </w:t>
      </w:r>
      <w:r>
        <w:t>are</w:t>
      </w:r>
      <w:r w:rsidRPr="00865273">
        <w:t xml:space="preserve"> eligible to receive the full loan rate as a recourse loan</w:t>
      </w:r>
      <w:r>
        <w:t xml:space="preserve">, which means the commodity </w:t>
      </w:r>
      <w:r w:rsidRPr="008D32CB">
        <w:rPr>
          <w:rFonts w:eastAsia="Times New Roman"/>
        </w:rPr>
        <w:t>may not be delivered or forfeite</w:t>
      </w:r>
      <w:r w:rsidRPr="00A315CC">
        <w:rPr>
          <w:rFonts w:eastAsia="Times New Roman"/>
        </w:rPr>
        <w:t>d to CCC in satisfaction of the loan indebtedness, and must be repaid in full on or before the loan maturity date at principal plus interest only.</w:t>
      </w:r>
    </w:p>
    <w:p w:rsidR="00B63F29" w:rsidRDefault="00410142" w:rsidP="00B63F29">
      <w:pPr>
        <w:pStyle w:val="ListParagraph"/>
        <w:numPr>
          <w:ilvl w:val="0"/>
          <w:numId w:val="5"/>
        </w:numPr>
      </w:pPr>
      <w:r>
        <w:t>For crop years 2019-</w:t>
      </w:r>
      <w:r w:rsidRPr="00410142">
        <w:t>2023</w:t>
      </w:r>
      <w:r w:rsidR="007445DF">
        <w:t>,</w:t>
      </w:r>
      <w:r w:rsidRPr="00410142">
        <w:t xml:space="preserve"> loan rates increased for all commodities except oilseeds, wool</w:t>
      </w:r>
      <w:r w:rsidR="009125CB">
        <w:t>,</w:t>
      </w:r>
      <w:r w:rsidRPr="00410142">
        <w:t xml:space="preserve"> mohair, honey, and peanuts, and upland cotton.</w:t>
      </w:r>
    </w:p>
    <w:tbl>
      <w:tblPr>
        <w:tblStyle w:val="TableGrid1"/>
        <w:tblW w:w="1070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75"/>
        <w:gridCol w:w="3790"/>
        <w:gridCol w:w="4040"/>
      </w:tblGrid>
      <w:tr w:rsidR="00410142" w:rsidRPr="00410142" w:rsidTr="00BD5AD2">
        <w:trPr>
          <w:jc w:val="center"/>
        </w:trPr>
        <w:tc>
          <w:tcPr>
            <w:tcW w:w="2875" w:type="dxa"/>
            <w:tcBorders>
              <w:top w:val="single" w:sz="12" w:space="0" w:color="auto"/>
              <w:bottom w:val="single" w:sz="12" w:space="0" w:color="auto"/>
              <w:right w:val="single" w:sz="12" w:space="0" w:color="auto"/>
            </w:tcBorders>
            <w:vAlign w:val="center"/>
          </w:tcPr>
          <w:p w:rsidR="00410142" w:rsidRPr="00410142" w:rsidRDefault="00410142" w:rsidP="00410142">
            <w:pPr>
              <w:jc w:val="center"/>
              <w:rPr>
                <w:b/>
              </w:rPr>
            </w:pPr>
            <w:r w:rsidRPr="00410142">
              <w:rPr>
                <w:b/>
              </w:rPr>
              <w:t>Commodity</w:t>
            </w:r>
          </w:p>
        </w:tc>
        <w:tc>
          <w:tcPr>
            <w:tcW w:w="3790" w:type="dxa"/>
            <w:tcBorders>
              <w:top w:val="single" w:sz="12" w:space="0" w:color="auto"/>
              <w:left w:val="single" w:sz="12" w:space="0" w:color="auto"/>
              <w:bottom w:val="single" w:sz="12" w:space="0" w:color="auto"/>
              <w:right w:val="single" w:sz="12" w:space="0" w:color="auto"/>
            </w:tcBorders>
            <w:vAlign w:val="center"/>
          </w:tcPr>
          <w:p w:rsidR="00410142" w:rsidRPr="00410142" w:rsidRDefault="00410142" w:rsidP="00410142">
            <w:pPr>
              <w:jc w:val="center"/>
              <w:rPr>
                <w:b/>
              </w:rPr>
            </w:pPr>
            <w:r w:rsidRPr="00410142">
              <w:rPr>
                <w:b/>
              </w:rPr>
              <w:t>Loan Rates Per Unit Crop Years 2014 through 2018</w:t>
            </w:r>
          </w:p>
        </w:tc>
        <w:tc>
          <w:tcPr>
            <w:tcW w:w="4040" w:type="dxa"/>
            <w:tcBorders>
              <w:top w:val="single" w:sz="12" w:space="0" w:color="auto"/>
              <w:left w:val="single" w:sz="12" w:space="0" w:color="auto"/>
              <w:bottom w:val="single" w:sz="12" w:space="0" w:color="auto"/>
            </w:tcBorders>
            <w:vAlign w:val="center"/>
          </w:tcPr>
          <w:p w:rsidR="00410142" w:rsidRPr="00410142" w:rsidRDefault="00410142" w:rsidP="00410142">
            <w:pPr>
              <w:jc w:val="center"/>
              <w:rPr>
                <w:b/>
              </w:rPr>
            </w:pPr>
            <w:r w:rsidRPr="00410142">
              <w:rPr>
                <w:b/>
              </w:rPr>
              <w:t>Loan Rates Per Unit Crop Years 2019 through 2023</w:t>
            </w:r>
          </w:p>
        </w:tc>
      </w:tr>
      <w:tr w:rsidR="00410142" w:rsidRPr="00410142" w:rsidTr="00BD5AD2">
        <w:trPr>
          <w:jc w:val="center"/>
        </w:trPr>
        <w:tc>
          <w:tcPr>
            <w:tcW w:w="2875" w:type="dxa"/>
            <w:tcBorders>
              <w:top w:val="single" w:sz="12" w:space="0" w:color="auto"/>
              <w:right w:val="single" w:sz="12" w:space="0" w:color="auto"/>
            </w:tcBorders>
            <w:shd w:val="clear" w:color="auto" w:fill="F2F2F2" w:themeFill="background1" w:themeFillShade="F2"/>
            <w:vAlign w:val="center"/>
          </w:tcPr>
          <w:p w:rsidR="00410142" w:rsidRPr="00410142" w:rsidRDefault="00410142" w:rsidP="00410142">
            <w:pPr>
              <w:jc w:val="center"/>
            </w:pPr>
            <w:r w:rsidRPr="00410142">
              <w:t>Wheat</w:t>
            </w:r>
          </w:p>
        </w:tc>
        <w:tc>
          <w:tcPr>
            <w:tcW w:w="3790"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410142" w:rsidRPr="00410142" w:rsidRDefault="00410142" w:rsidP="00410142">
            <w:pPr>
              <w:jc w:val="center"/>
            </w:pPr>
            <w:r>
              <w:t>$2.94/bu.</w:t>
            </w:r>
          </w:p>
        </w:tc>
        <w:tc>
          <w:tcPr>
            <w:tcW w:w="4040" w:type="dxa"/>
            <w:tcBorders>
              <w:top w:val="single" w:sz="12" w:space="0" w:color="auto"/>
              <w:left w:val="single" w:sz="12" w:space="0" w:color="auto"/>
            </w:tcBorders>
            <w:shd w:val="clear" w:color="auto" w:fill="F2F2F2" w:themeFill="background1" w:themeFillShade="F2"/>
            <w:vAlign w:val="center"/>
          </w:tcPr>
          <w:p w:rsidR="00410142" w:rsidRPr="00410142" w:rsidRDefault="00410142" w:rsidP="00410142">
            <w:pPr>
              <w:jc w:val="center"/>
            </w:pPr>
            <w:r>
              <w:t>$3.38/bu.</w:t>
            </w:r>
          </w:p>
        </w:tc>
      </w:tr>
      <w:tr w:rsidR="00410142" w:rsidRPr="00410142" w:rsidTr="00BD5AD2">
        <w:trPr>
          <w:jc w:val="center"/>
        </w:trPr>
        <w:tc>
          <w:tcPr>
            <w:tcW w:w="2875" w:type="dxa"/>
            <w:tcBorders>
              <w:right w:val="single" w:sz="12" w:space="0" w:color="auto"/>
            </w:tcBorders>
            <w:vAlign w:val="center"/>
          </w:tcPr>
          <w:p w:rsidR="00410142" w:rsidRPr="00410142" w:rsidRDefault="00410142" w:rsidP="00410142">
            <w:pPr>
              <w:jc w:val="center"/>
            </w:pPr>
            <w:r w:rsidRPr="00410142">
              <w:t>Corn</w:t>
            </w:r>
          </w:p>
        </w:tc>
        <w:tc>
          <w:tcPr>
            <w:tcW w:w="3790" w:type="dxa"/>
            <w:tcBorders>
              <w:top w:val="single" w:sz="4" w:space="0" w:color="auto"/>
              <w:left w:val="single" w:sz="12" w:space="0" w:color="auto"/>
              <w:bottom w:val="single" w:sz="4" w:space="0" w:color="auto"/>
              <w:right w:val="single" w:sz="12" w:space="0" w:color="auto"/>
            </w:tcBorders>
            <w:vAlign w:val="center"/>
          </w:tcPr>
          <w:p w:rsidR="00410142" w:rsidRPr="00410142" w:rsidRDefault="00410142" w:rsidP="00410142">
            <w:pPr>
              <w:jc w:val="center"/>
            </w:pPr>
            <w:r>
              <w:t>$1.95/bu.</w:t>
            </w:r>
          </w:p>
        </w:tc>
        <w:tc>
          <w:tcPr>
            <w:tcW w:w="4040" w:type="dxa"/>
            <w:tcBorders>
              <w:left w:val="single" w:sz="12" w:space="0" w:color="auto"/>
            </w:tcBorders>
            <w:vAlign w:val="center"/>
          </w:tcPr>
          <w:p w:rsidR="00410142" w:rsidRPr="00410142" w:rsidRDefault="00410142" w:rsidP="00410142">
            <w:pPr>
              <w:jc w:val="center"/>
            </w:pPr>
            <w:r>
              <w:t>$2.20/bu.</w:t>
            </w:r>
          </w:p>
        </w:tc>
      </w:tr>
      <w:tr w:rsidR="00410142" w:rsidRPr="00410142" w:rsidTr="00BD5AD2">
        <w:trPr>
          <w:jc w:val="center"/>
        </w:trPr>
        <w:tc>
          <w:tcPr>
            <w:tcW w:w="2875" w:type="dxa"/>
            <w:tcBorders>
              <w:right w:val="single" w:sz="12" w:space="0" w:color="auto"/>
            </w:tcBorders>
            <w:shd w:val="clear" w:color="auto" w:fill="F2F2F2" w:themeFill="background1" w:themeFillShade="F2"/>
            <w:vAlign w:val="center"/>
          </w:tcPr>
          <w:p w:rsidR="00410142" w:rsidRPr="00410142" w:rsidRDefault="00410142" w:rsidP="00410142">
            <w:pPr>
              <w:jc w:val="center"/>
            </w:pPr>
            <w:r w:rsidRPr="00410142">
              <w:t>Grain Sorghum</w:t>
            </w:r>
          </w:p>
        </w:tc>
        <w:tc>
          <w:tcPr>
            <w:tcW w:w="379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10142" w:rsidRPr="00410142" w:rsidRDefault="00410142" w:rsidP="00410142">
            <w:pPr>
              <w:jc w:val="center"/>
            </w:pPr>
            <w:r>
              <w:t>$1.95/bu.</w:t>
            </w:r>
          </w:p>
        </w:tc>
        <w:tc>
          <w:tcPr>
            <w:tcW w:w="4040" w:type="dxa"/>
            <w:tcBorders>
              <w:left w:val="single" w:sz="12" w:space="0" w:color="auto"/>
            </w:tcBorders>
            <w:shd w:val="clear" w:color="auto" w:fill="F2F2F2" w:themeFill="background1" w:themeFillShade="F2"/>
            <w:vAlign w:val="center"/>
          </w:tcPr>
          <w:p w:rsidR="00410142" w:rsidRPr="00410142" w:rsidRDefault="00410142" w:rsidP="00410142">
            <w:pPr>
              <w:jc w:val="center"/>
            </w:pPr>
            <w:r>
              <w:t>$2.20/bu.</w:t>
            </w:r>
          </w:p>
        </w:tc>
      </w:tr>
      <w:tr w:rsidR="00410142" w:rsidRPr="00410142" w:rsidTr="00BD5AD2">
        <w:trPr>
          <w:jc w:val="center"/>
        </w:trPr>
        <w:tc>
          <w:tcPr>
            <w:tcW w:w="2875" w:type="dxa"/>
            <w:tcBorders>
              <w:right w:val="single" w:sz="12" w:space="0" w:color="auto"/>
            </w:tcBorders>
            <w:vAlign w:val="center"/>
          </w:tcPr>
          <w:p w:rsidR="00410142" w:rsidRPr="00410142" w:rsidRDefault="00410142" w:rsidP="00410142">
            <w:pPr>
              <w:jc w:val="center"/>
            </w:pPr>
            <w:r w:rsidRPr="00410142">
              <w:t>Barley</w:t>
            </w:r>
          </w:p>
        </w:tc>
        <w:tc>
          <w:tcPr>
            <w:tcW w:w="3790" w:type="dxa"/>
            <w:tcBorders>
              <w:top w:val="single" w:sz="4" w:space="0" w:color="auto"/>
              <w:left w:val="single" w:sz="12" w:space="0" w:color="auto"/>
              <w:bottom w:val="single" w:sz="4" w:space="0" w:color="auto"/>
              <w:right w:val="single" w:sz="12" w:space="0" w:color="auto"/>
            </w:tcBorders>
            <w:vAlign w:val="center"/>
          </w:tcPr>
          <w:p w:rsidR="00410142" w:rsidRPr="00410142" w:rsidRDefault="00410142" w:rsidP="00410142">
            <w:pPr>
              <w:jc w:val="center"/>
            </w:pPr>
            <w:r>
              <w:t>$1.95/bu.</w:t>
            </w:r>
          </w:p>
        </w:tc>
        <w:tc>
          <w:tcPr>
            <w:tcW w:w="4040" w:type="dxa"/>
            <w:tcBorders>
              <w:left w:val="single" w:sz="12" w:space="0" w:color="auto"/>
            </w:tcBorders>
            <w:vAlign w:val="center"/>
          </w:tcPr>
          <w:p w:rsidR="00410142" w:rsidRPr="00410142" w:rsidRDefault="00410142" w:rsidP="00410142">
            <w:pPr>
              <w:jc w:val="center"/>
            </w:pPr>
            <w:r>
              <w:t>$2.50/bu.</w:t>
            </w:r>
          </w:p>
        </w:tc>
      </w:tr>
      <w:tr w:rsidR="00410142" w:rsidRPr="00410142" w:rsidTr="00BD5AD2">
        <w:trPr>
          <w:jc w:val="center"/>
        </w:trPr>
        <w:tc>
          <w:tcPr>
            <w:tcW w:w="2875" w:type="dxa"/>
            <w:tcBorders>
              <w:right w:val="single" w:sz="12" w:space="0" w:color="auto"/>
            </w:tcBorders>
            <w:shd w:val="clear" w:color="auto" w:fill="F2F2F2" w:themeFill="background1" w:themeFillShade="F2"/>
            <w:vAlign w:val="center"/>
          </w:tcPr>
          <w:p w:rsidR="00410142" w:rsidRPr="00410142" w:rsidRDefault="00410142" w:rsidP="00410142">
            <w:pPr>
              <w:jc w:val="center"/>
            </w:pPr>
            <w:r w:rsidRPr="00410142">
              <w:t>Oats</w:t>
            </w:r>
          </w:p>
        </w:tc>
        <w:tc>
          <w:tcPr>
            <w:tcW w:w="379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10142" w:rsidRPr="00410142" w:rsidRDefault="00410142" w:rsidP="00410142">
            <w:pPr>
              <w:jc w:val="center"/>
            </w:pPr>
            <w:r>
              <w:t>$1.39/bu.</w:t>
            </w:r>
          </w:p>
        </w:tc>
        <w:tc>
          <w:tcPr>
            <w:tcW w:w="4040" w:type="dxa"/>
            <w:tcBorders>
              <w:left w:val="single" w:sz="12" w:space="0" w:color="auto"/>
            </w:tcBorders>
            <w:shd w:val="clear" w:color="auto" w:fill="F2F2F2" w:themeFill="background1" w:themeFillShade="F2"/>
            <w:vAlign w:val="center"/>
          </w:tcPr>
          <w:p w:rsidR="00410142" w:rsidRPr="00410142" w:rsidRDefault="00410142" w:rsidP="00410142">
            <w:pPr>
              <w:jc w:val="center"/>
            </w:pPr>
            <w:r>
              <w:t>$2.00/bu.</w:t>
            </w:r>
          </w:p>
        </w:tc>
      </w:tr>
      <w:tr w:rsidR="00410142" w:rsidRPr="00410142" w:rsidTr="00BD5AD2">
        <w:trPr>
          <w:jc w:val="center"/>
        </w:trPr>
        <w:tc>
          <w:tcPr>
            <w:tcW w:w="2875" w:type="dxa"/>
            <w:tcBorders>
              <w:right w:val="single" w:sz="12" w:space="0" w:color="auto"/>
            </w:tcBorders>
            <w:vAlign w:val="center"/>
          </w:tcPr>
          <w:p w:rsidR="00410142" w:rsidRPr="00410142" w:rsidRDefault="00410142" w:rsidP="00410142">
            <w:pPr>
              <w:jc w:val="center"/>
            </w:pPr>
            <w:r w:rsidRPr="00410142">
              <w:t>Upland Cotton</w:t>
            </w:r>
          </w:p>
        </w:tc>
        <w:tc>
          <w:tcPr>
            <w:tcW w:w="3790" w:type="dxa"/>
            <w:tcBorders>
              <w:top w:val="single" w:sz="4" w:space="0" w:color="auto"/>
              <w:left w:val="single" w:sz="12" w:space="0" w:color="auto"/>
              <w:bottom w:val="single" w:sz="4" w:space="0" w:color="auto"/>
              <w:right w:val="single" w:sz="12" w:space="0" w:color="auto"/>
            </w:tcBorders>
            <w:vAlign w:val="center"/>
          </w:tcPr>
          <w:p w:rsidR="00410142" w:rsidRDefault="00410142" w:rsidP="00410142">
            <w:pPr>
              <w:pStyle w:val="ListParagraph"/>
              <w:numPr>
                <w:ilvl w:val="0"/>
                <w:numId w:val="8"/>
              </w:numPr>
              <w:ind w:left="241" w:hanging="241"/>
              <w:jc w:val="center"/>
            </w:pPr>
            <w:r w:rsidRPr="00410142">
              <w:t xml:space="preserve">Simple average of </w:t>
            </w:r>
            <w:r>
              <w:t>the adjusted world price (</w:t>
            </w:r>
            <w:r w:rsidRPr="00410142">
              <w:t>AWP</w:t>
            </w:r>
            <w:r>
              <w:t>) for the two</w:t>
            </w:r>
            <w:r w:rsidRPr="00410142">
              <w:t xml:space="preserve"> immedi</w:t>
            </w:r>
            <w:r>
              <w:t>ately preceding market years</w:t>
            </w:r>
          </w:p>
          <w:p w:rsidR="00410142" w:rsidRPr="00410142" w:rsidRDefault="00410142" w:rsidP="00410142">
            <w:pPr>
              <w:pStyle w:val="ListParagraph"/>
              <w:numPr>
                <w:ilvl w:val="0"/>
                <w:numId w:val="8"/>
              </w:numPr>
              <w:ind w:left="241" w:hanging="241"/>
              <w:jc w:val="center"/>
            </w:pPr>
            <w:r>
              <w:t>I</w:t>
            </w:r>
            <w:r w:rsidRPr="00410142">
              <w:t>n no case will the loan r</w:t>
            </w:r>
            <w:r>
              <w:t>ate be less than $0.45/</w:t>
            </w:r>
            <w:r w:rsidR="00F948AE">
              <w:t>lb.</w:t>
            </w:r>
            <w:r w:rsidRPr="00410142">
              <w:t xml:space="preserve"> or more than $0.52</w:t>
            </w:r>
            <w:r>
              <w:t>/</w:t>
            </w:r>
            <w:r w:rsidR="00F948AE">
              <w:t>lb.</w:t>
            </w:r>
          </w:p>
        </w:tc>
        <w:tc>
          <w:tcPr>
            <w:tcW w:w="4040" w:type="dxa"/>
            <w:tcBorders>
              <w:left w:val="single" w:sz="12" w:space="0" w:color="auto"/>
            </w:tcBorders>
            <w:vAlign w:val="center"/>
          </w:tcPr>
          <w:p w:rsidR="00410142" w:rsidRDefault="00410142" w:rsidP="00410142">
            <w:pPr>
              <w:pStyle w:val="ListParagraph"/>
              <w:numPr>
                <w:ilvl w:val="0"/>
                <w:numId w:val="8"/>
              </w:numPr>
              <w:ind w:left="241" w:hanging="241"/>
              <w:jc w:val="center"/>
            </w:pPr>
            <w:r>
              <w:t>Simple average of AWP for the two</w:t>
            </w:r>
            <w:r w:rsidRPr="00410142">
              <w:t xml:space="preserve"> immedi</w:t>
            </w:r>
            <w:r>
              <w:t>ately preceding market years</w:t>
            </w:r>
          </w:p>
          <w:p w:rsidR="00410142" w:rsidRDefault="00410142" w:rsidP="00410142">
            <w:pPr>
              <w:pStyle w:val="ListParagraph"/>
              <w:numPr>
                <w:ilvl w:val="0"/>
                <w:numId w:val="8"/>
              </w:numPr>
              <w:ind w:left="241" w:hanging="241"/>
              <w:jc w:val="center"/>
            </w:pPr>
            <w:r>
              <w:t>I</w:t>
            </w:r>
            <w:r w:rsidRPr="00410142">
              <w:t>n no case will the loan r</w:t>
            </w:r>
            <w:r>
              <w:t>ate be less than $0.45/</w:t>
            </w:r>
            <w:r w:rsidR="00F948AE">
              <w:t>lb.</w:t>
            </w:r>
            <w:r w:rsidRPr="00410142">
              <w:t xml:space="preserve"> or more</w:t>
            </w:r>
            <w:r>
              <w:t xml:space="preserve"> than $0.52/</w:t>
            </w:r>
            <w:r w:rsidR="00F948AE">
              <w:t>lb.</w:t>
            </w:r>
          </w:p>
          <w:p w:rsidR="00410142" w:rsidRPr="00410142" w:rsidRDefault="00410142" w:rsidP="00410142">
            <w:pPr>
              <w:pStyle w:val="ListParagraph"/>
              <w:numPr>
                <w:ilvl w:val="0"/>
                <w:numId w:val="8"/>
              </w:numPr>
              <w:ind w:left="241" w:hanging="241"/>
              <w:jc w:val="center"/>
            </w:pPr>
            <w:r>
              <w:t>T</w:t>
            </w:r>
            <w:r w:rsidRPr="00410142">
              <w:t>he loan rate will not equal less than 98 percent of the loan rate for the base loan rate from the preceding year.</w:t>
            </w:r>
          </w:p>
        </w:tc>
      </w:tr>
      <w:tr w:rsidR="00410142" w:rsidRPr="00410142" w:rsidTr="00BD5AD2">
        <w:trPr>
          <w:jc w:val="center"/>
        </w:trPr>
        <w:tc>
          <w:tcPr>
            <w:tcW w:w="2875" w:type="dxa"/>
            <w:tcBorders>
              <w:right w:val="single" w:sz="12" w:space="0" w:color="auto"/>
            </w:tcBorders>
            <w:shd w:val="clear" w:color="auto" w:fill="F2F2F2" w:themeFill="background1" w:themeFillShade="F2"/>
            <w:vAlign w:val="center"/>
          </w:tcPr>
          <w:p w:rsidR="00410142" w:rsidRPr="00410142" w:rsidRDefault="000E6942" w:rsidP="00410142">
            <w:pPr>
              <w:jc w:val="center"/>
            </w:pPr>
            <w:r>
              <w:t>ELS</w:t>
            </w:r>
            <w:r w:rsidR="00410142" w:rsidRPr="00410142">
              <w:t xml:space="preserve"> Cotton</w:t>
            </w:r>
          </w:p>
        </w:tc>
        <w:tc>
          <w:tcPr>
            <w:tcW w:w="379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10142" w:rsidRPr="00410142" w:rsidRDefault="0088154F" w:rsidP="00410142">
            <w:pPr>
              <w:jc w:val="center"/>
            </w:pPr>
            <w:r>
              <w:t>$0.7977/</w:t>
            </w:r>
            <w:r w:rsidR="00F948AE">
              <w:t>lb.</w:t>
            </w:r>
          </w:p>
        </w:tc>
        <w:tc>
          <w:tcPr>
            <w:tcW w:w="4040" w:type="dxa"/>
            <w:tcBorders>
              <w:left w:val="single" w:sz="12" w:space="0" w:color="auto"/>
            </w:tcBorders>
            <w:shd w:val="clear" w:color="auto" w:fill="F2F2F2" w:themeFill="background1" w:themeFillShade="F2"/>
            <w:vAlign w:val="center"/>
          </w:tcPr>
          <w:p w:rsidR="00410142" w:rsidRPr="00410142" w:rsidRDefault="0088154F" w:rsidP="00410142">
            <w:pPr>
              <w:jc w:val="center"/>
            </w:pPr>
            <w:r>
              <w:t>$0.95/</w:t>
            </w:r>
            <w:r w:rsidR="00F948AE">
              <w:t>lb.</w:t>
            </w:r>
          </w:p>
        </w:tc>
      </w:tr>
      <w:tr w:rsidR="00410142" w:rsidRPr="00410142" w:rsidTr="00BD5AD2">
        <w:trPr>
          <w:trHeight w:val="829"/>
          <w:jc w:val="center"/>
        </w:trPr>
        <w:tc>
          <w:tcPr>
            <w:tcW w:w="2875" w:type="dxa"/>
            <w:tcBorders>
              <w:right w:val="single" w:sz="12" w:space="0" w:color="auto"/>
            </w:tcBorders>
            <w:vAlign w:val="center"/>
          </w:tcPr>
          <w:p w:rsidR="00410142" w:rsidRPr="00410142" w:rsidRDefault="00410142" w:rsidP="00410142">
            <w:pPr>
              <w:jc w:val="center"/>
              <w:rPr>
                <w:u w:val="single"/>
              </w:rPr>
            </w:pPr>
            <w:r w:rsidRPr="00410142">
              <w:rPr>
                <w:u w:val="single"/>
              </w:rPr>
              <w:t>Rice</w:t>
            </w:r>
          </w:p>
          <w:p w:rsidR="00410142" w:rsidRPr="00410142" w:rsidRDefault="00410142" w:rsidP="00410142">
            <w:pPr>
              <w:numPr>
                <w:ilvl w:val="0"/>
                <w:numId w:val="6"/>
              </w:numPr>
              <w:ind w:left="342" w:hanging="192"/>
              <w:contextualSpacing/>
            </w:pPr>
            <w:r w:rsidRPr="00410142">
              <w:t>Long Grain</w:t>
            </w:r>
          </w:p>
          <w:p w:rsidR="00410142" w:rsidRPr="00410142" w:rsidRDefault="00410142" w:rsidP="00410142">
            <w:pPr>
              <w:numPr>
                <w:ilvl w:val="0"/>
                <w:numId w:val="6"/>
              </w:numPr>
              <w:ind w:left="342" w:hanging="192"/>
              <w:contextualSpacing/>
            </w:pPr>
            <w:r w:rsidRPr="00410142">
              <w:t>Medium/Short Grain</w:t>
            </w:r>
          </w:p>
        </w:tc>
        <w:tc>
          <w:tcPr>
            <w:tcW w:w="3790" w:type="dxa"/>
            <w:tcBorders>
              <w:top w:val="single" w:sz="4" w:space="0" w:color="auto"/>
              <w:left w:val="single" w:sz="12" w:space="0" w:color="auto"/>
              <w:bottom w:val="single" w:sz="4" w:space="0" w:color="auto"/>
              <w:right w:val="single" w:sz="12" w:space="0" w:color="auto"/>
            </w:tcBorders>
            <w:vAlign w:val="center"/>
          </w:tcPr>
          <w:p w:rsidR="00410142" w:rsidRPr="00410142" w:rsidRDefault="00410142" w:rsidP="00410142">
            <w:pPr>
              <w:jc w:val="center"/>
            </w:pPr>
          </w:p>
          <w:p w:rsidR="00410142" w:rsidRPr="00410142" w:rsidRDefault="0088154F" w:rsidP="00410142">
            <w:pPr>
              <w:jc w:val="center"/>
            </w:pPr>
            <w:r>
              <w:t>$6.50/cwt</w:t>
            </w:r>
          </w:p>
          <w:p w:rsidR="00410142" w:rsidRPr="00410142" w:rsidRDefault="00410142" w:rsidP="00410142">
            <w:pPr>
              <w:jc w:val="center"/>
            </w:pPr>
          </w:p>
        </w:tc>
        <w:tc>
          <w:tcPr>
            <w:tcW w:w="4040" w:type="dxa"/>
            <w:tcBorders>
              <w:left w:val="single" w:sz="12" w:space="0" w:color="auto"/>
            </w:tcBorders>
            <w:vAlign w:val="center"/>
          </w:tcPr>
          <w:p w:rsidR="00410142" w:rsidRPr="00410142" w:rsidRDefault="00410142" w:rsidP="00410142">
            <w:pPr>
              <w:jc w:val="center"/>
            </w:pPr>
          </w:p>
          <w:p w:rsidR="00410142" w:rsidRPr="00410142" w:rsidRDefault="0088154F" w:rsidP="00410142">
            <w:pPr>
              <w:jc w:val="center"/>
            </w:pPr>
            <w:r>
              <w:t>$7.00/cwt</w:t>
            </w:r>
          </w:p>
          <w:p w:rsidR="00410142" w:rsidRPr="00410142" w:rsidRDefault="00410142" w:rsidP="00410142">
            <w:pPr>
              <w:jc w:val="center"/>
            </w:pPr>
          </w:p>
        </w:tc>
      </w:tr>
      <w:tr w:rsidR="00410142" w:rsidRPr="00410142" w:rsidTr="00BD5AD2">
        <w:trPr>
          <w:jc w:val="center"/>
        </w:trPr>
        <w:tc>
          <w:tcPr>
            <w:tcW w:w="2875" w:type="dxa"/>
            <w:tcBorders>
              <w:right w:val="single" w:sz="12" w:space="0" w:color="auto"/>
            </w:tcBorders>
            <w:shd w:val="clear" w:color="auto" w:fill="F2F2F2" w:themeFill="background1" w:themeFillShade="F2"/>
            <w:vAlign w:val="center"/>
          </w:tcPr>
          <w:p w:rsidR="00410142" w:rsidRPr="00410142" w:rsidRDefault="00410142" w:rsidP="00410142">
            <w:pPr>
              <w:jc w:val="center"/>
            </w:pPr>
            <w:r w:rsidRPr="00410142">
              <w:t>Soybeans</w:t>
            </w:r>
          </w:p>
        </w:tc>
        <w:tc>
          <w:tcPr>
            <w:tcW w:w="379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10142" w:rsidRPr="00410142" w:rsidRDefault="0088154F" w:rsidP="00410142">
            <w:pPr>
              <w:jc w:val="center"/>
            </w:pPr>
            <w:r>
              <w:t>$5.00/bu.</w:t>
            </w:r>
          </w:p>
        </w:tc>
        <w:tc>
          <w:tcPr>
            <w:tcW w:w="4040" w:type="dxa"/>
            <w:tcBorders>
              <w:left w:val="single" w:sz="12" w:space="0" w:color="auto"/>
            </w:tcBorders>
            <w:shd w:val="clear" w:color="auto" w:fill="F2F2F2" w:themeFill="background1" w:themeFillShade="F2"/>
            <w:vAlign w:val="center"/>
          </w:tcPr>
          <w:p w:rsidR="00410142" w:rsidRPr="00410142" w:rsidRDefault="0088154F" w:rsidP="00410142">
            <w:pPr>
              <w:jc w:val="center"/>
            </w:pPr>
            <w:r>
              <w:t>$6.20/bu.</w:t>
            </w:r>
          </w:p>
        </w:tc>
      </w:tr>
      <w:tr w:rsidR="00410142" w:rsidRPr="00410142" w:rsidTr="00BD5AD2">
        <w:trPr>
          <w:jc w:val="center"/>
        </w:trPr>
        <w:tc>
          <w:tcPr>
            <w:tcW w:w="2875" w:type="dxa"/>
            <w:tcBorders>
              <w:right w:val="single" w:sz="12" w:space="0" w:color="auto"/>
            </w:tcBorders>
            <w:vAlign w:val="center"/>
          </w:tcPr>
          <w:p w:rsidR="00410142" w:rsidRPr="00410142" w:rsidRDefault="0088154F" w:rsidP="00410142">
            <w:pPr>
              <w:jc w:val="center"/>
              <w:rPr>
                <w:u w:val="single"/>
              </w:rPr>
            </w:pPr>
            <w:r w:rsidRPr="00F3033A">
              <w:rPr>
                <w:u w:val="single"/>
              </w:rPr>
              <w:t>Oilseeds</w:t>
            </w:r>
          </w:p>
          <w:p w:rsidR="00025352" w:rsidRDefault="00025352" w:rsidP="00025352">
            <w:pPr>
              <w:contextualSpacing/>
            </w:pPr>
          </w:p>
          <w:p w:rsidR="00410142" w:rsidRPr="00410142" w:rsidRDefault="00410142" w:rsidP="00025352">
            <w:pPr>
              <w:contextualSpacing/>
            </w:pPr>
            <w:r w:rsidRPr="00410142">
              <w:t>Sunflower (oil and non-oil types</w:t>
            </w:r>
            <w:r w:rsidR="00025352">
              <w:t xml:space="preserve">, </w:t>
            </w:r>
            <w:r w:rsidRPr="00410142">
              <w:t>Flaxseed</w:t>
            </w:r>
            <w:r w:rsidR="00025352">
              <w:t xml:space="preserve">, </w:t>
            </w:r>
            <w:r w:rsidRPr="00410142">
              <w:t>Canola</w:t>
            </w:r>
            <w:r w:rsidR="00025352">
              <w:t xml:space="preserve">, </w:t>
            </w:r>
            <w:r w:rsidRPr="00410142">
              <w:t>Rapeseed</w:t>
            </w:r>
            <w:r w:rsidR="00025352">
              <w:t xml:space="preserve">, </w:t>
            </w:r>
            <w:r w:rsidRPr="00410142">
              <w:t>Safflower Seed</w:t>
            </w:r>
            <w:r w:rsidR="00025352">
              <w:t xml:space="preserve">, </w:t>
            </w:r>
            <w:r w:rsidRPr="00410142">
              <w:t>Mustard Seed</w:t>
            </w:r>
            <w:r w:rsidR="00025352">
              <w:t xml:space="preserve">, </w:t>
            </w:r>
            <w:r w:rsidRPr="00410142">
              <w:t>Crambe</w:t>
            </w:r>
            <w:r w:rsidR="00025352">
              <w:t xml:space="preserve">, and </w:t>
            </w:r>
            <w:r w:rsidRPr="00410142">
              <w:t>Sesame Seed</w:t>
            </w:r>
          </w:p>
        </w:tc>
        <w:tc>
          <w:tcPr>
            <w:tcW w:w="3790" w:type="dxa"/>
            <w:tcBorders>
              <w:top w:val="single" w:sz="4" w:space="0" w:color="auto"/>
              <w:left w:val="single" w:sz="12" w:space="0" w:color="auto"/>
              <w:bottom w:val="single" w:sz="4" w:space="0" w:color="auto"/>
              <w:right w:val="single" w:sz="12" w:space="0" w:color="auto"/>
            </w:tcBorders>
            <w:vAlign w:val="center"/>
          </w:tcPr>
          <w:p w:rsidR="00410142" w:rsidRPr="00410142" w:rsidRDefault="0088154F" w:rsidP="00410142">
            <w:pPr>
              <w:jc w:val="center"/>
            </w:pPr>
            <w:r>
              <w:t>$10.09/cwt</w:t>
            </w:r>
          </w:p>
        </w:tc>
        <w:tc>
          <w:tcPr>
            <w:tcW w:w="4040" w:type="dxa"/>
            <w:tcBorders>
              <w:left w:val="single" w:sz="12" w:space="0" w:color="auto"/>
            </w:tcBorders>
            <w:vAlign w:val="center"/>
          </w:tcPr>
          <w:p w:rsidR="00410142" w:rsidRPr="00410142" w:rsidRDefault="0088154F" w:rsidP="00410142">
            <w:pPr>
              <w:jc w:val="center"/>
            </w:pPr>
            <w:r>
              <w:t>$10.09/cwt</w:t>
            </w:r>
          </w:p>
        </w:tc>
      </w:tr>
      <w:tr w:rsidR="00410142" w:rsidRPr="00410142" w:rsidTr="00BD5AD2">
        <w:trPr>
          <w:jc w:val="center"/>
        </w:trPr>
        <w:tc>
          <w:tcPr>
            <w:tcW w:w="2875" w:type="dxa"/>
            <w:tcBorders>
              <w:right w:val="single" w:sz="12" w:space="0" w:color="auto"/>
            </w:tcBorders>
            <w:shd w:val="clear" w:color="auto" w:fill="F2F2F2" w:themeFill="background1" w:themeFillShade="F2"/>
            <w:vAlign w:val="center"/>
          </w:tcPr>
          <w:p w:rsidR="00410142" w:rsidRPr="00410142" w:rsidRDefault="00410142" w:rsidP="00410142">
            <w:pPr>
              <w:jc w:val="center"/>
            </w:pPr>
            <w:r w:rsidRPr="00410142">
              <w:t>Dry Peas</w:t>
            </w:r>
          </w:p>
        </w:tc>
        <w:tc>
          <w:tcPr>
            <w:tcW w:w="379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10142" w:rsidRPr="00410142" w:rsidRDefault="0088154F" w:rsidP="00410142">
            <w:pPr>
              <w:jc w:val="center"/>
            </w:pPr>
            <w:r>
              <w:t>$5.40/cwt</w:t>
            </w:r>
          </w:p>
        </w:tc>
        <w:tc>
          <w:tcPr>
            <w:tcW w:w="4040" w:type="dxa"/>
            <w:tcBorders>
              <w:left w:val="single" w:sz="12" w:space="0" w:color="auto"/>
            </w:tcBorders>
            <w:shd w:val="clear" w:color="auto" w:fill="F2F2F2" w:themeFill="background1" w:themeFillShade="F2"/>
            <w:vAlign w:val="center"/>
          </w:tcPr>
          <w:p w:rsidR="00410142" w:rsidRPr="00410142" w:rsidRDefault="0088154F" w:rsidP="00410142">
            <w:pPr>
              <w:jc w:val="center"/>
            </w:pPr>
            <w:r>
              <w:t>$6.15/cwt</w:t>
            </w:r>
          </w:p>
        </w:tc>
      </w:tr>
      <w:tr w:rsidR="00410142" w:rsidRPr="00410142" w:rsidTr="00BD5AD2">
        <w:trPr>
          <w:jc w:val="center"/>
        </w:trPr>
        <w:tc>
          <w:tcPr>
            <w:tcW w:w="2875" w:type="dxa"/>
            <w:tcBorders>
              <w:right w:val="single" w:sz="12" w:space="0" w:color="auto"/>
            </w:tcBorders>
            <w:vAlign w:val="center"/>
          </w:tcPr>
          <w:p w:rsidR="00410142" w:rsidRPr="00410142" w:rsidRDefault="00410142" w:rsidP="00410142">
            <w:pPr>
              <w:jc w:val="center"/>
            </w:pPr>
            <w:r w:rsidRPr="00410142">
              <w:t>Lentils</w:t>
            </w:r>
          </w:p>
        </w:tc>
        <w:tc>
          <w:tcPr>
            <w:tcW w:w="3790" w:type="dxa"/>
            <w:tcBorders>
              <w:top w:val="single" w:sz="4" w:space="0" w:color="auto"/>
              <w:left w:val="single" w:sz="12" w:space="0" w:color="auto"/>
              <w:bottom w:val="single" w:sz="4" w:space="0" w:color="auto"/>
              <w:right w:val="single" w:sz="12" w:space="0" w:color="auto"/>
            </w:tcBorders>
            <w:vAlign w:val="center"/>
          </w:tcPr>
          <w:p w:rsidR="00410142" w:rsidRPr="00410142" w:rsidRDefault="0088154F" w:rsidP="00410142">
            <w:pPr>
              <w:jc w:val="center"/>
            </w:pPr>
            <w:r>
              <w:t>$11.28/cwt</w:t>
            </w:r>
          </w:p>
        </w:tc>
        <w:tc>
          <w:tcPr>
            <w:tcW w:w="4040" w:type="dxa"/>
            <w:tcBorders>
              <w:left w:val="single" w:sz="12" w:space="0" w:color="auto"/>
            </w:tcBorders>
            <w:vAlign w:val="center"/>
          </w:tcPr>
          <w:p w:rsidR="00410142" w:rsidRPr="00410142" w:rsidRDefault="0088154F" w:rsidP="00410142">
            <w:pPr>
              <w:jc w:val="center"/>
            </w:pPr>
            <w:r>
              <w:t>$13.00/cwt</w:t>
            </w:r>
          </w:p>
        </w:tc>
      </w:tr>
      <w:tr w:rsidR="00410142" w:rsidRPr="00410142" w:rsidTr="00BD5AD2">
        <w:trPr>
          <w:jc w:val="center"/>
        </w:trPr>
        <w:tc>
          <w:tcPr>
            <w:tcW w:w="2875" w:type="dxa"/>
            <w:tcBorders>
              <w:right w:val="single" w:sz="12" w:space="0" w:color="auto"/>
            </w:tcBorders>
            <w:shd w:val="clear" w:color="auto" w:fill="F2F2F2" w:themeFill="background1" w:themeFillShade="F2"/>
            <w:vAlign w:val="center"/>
          </w:tcPr>
          <w:p w:rsidR="00410142" w:rsidRPr="00410142" w:rsidRDefault="00410142" w:rsidP="00410142">
            <w:pPr>
              <w:jc w:val="center"/>
            </w:pPr>
            <w:r w:rsidRPr="00410142">
              <w:t>Small Chickpeas</w:t>
            </w:r>
          </w:p>
        </w:tc>
        <w:tc>
          <w:tcPr>
            <w:tcW w:w="379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10142" w:rsidRPr="00410142" w:rsidRDefault="0088154F" w:rsidP="00410142">
            <w:pPr>
              <w:jc w:val="center"/>
            </w:pPr>
            <w:r>
              <w:t>$7.43/cwt</w:t>
            </w:r>
          </w:p>
        </w:tc>
        <w:tc>
          <w:tcPr>
            <w:tcW w:w="4040" w:type="dxa"/>
            <w:tcBorders>
              <w:left w:val="single" w:sz="12" w:space="0" w:color="auto"/>
            </w:tcBorders>
            <w:shd w:val="clear" w:color="auto" w:fill="F2F2F2" w:themeFill="background1" w:themeFillShade="F2"/>
            <w:vAlign w:val="center"/>
          </w:tcPr>
          <w:p w:rsidR="00410142" w:rsidRPr="00410142" w:rsidRDefault="0088154F" w:rsidP="00410142">
            <w:pPr>
              <w:jc w:val="center"/>
            </w:pPr>
            <w:r>
              <w:t>$10.00/cwt</w:t>
            </w:r>
          </w:p>
        </w:tc>
      </w:tr>
      <w:tr w:rsidR="00410142" w:rsidRPr="00410142" w:rsidTr="00BD5AD2">
        <w:trPr>
          <w:jc w:val="center"/>
        </w:trPr>
        <w:tc>
          <w:tcPr>
            <w:tcW w:w="2875" w:type="dxa"/>
            <w:tcBorders>
              <w:right w:val="single" w:sz="12" w:space="0" w:color="auto"/>
            </w:tcBorders>
            <w:vAlign w:val="center"/>
          </w:tcPr>
          <w:p w:rsidR="00410142" w:rsidRPr="00410142" w:rsidRDefault="00410142" w:rsidP="00410142">
            <w:pPr>
              <w:jc w:val="center"/>
            </w:pPr>
            <w:r w:rsidRPr="00410142">
              <w:t>Large Chickpeas</w:t>
            </w:r>
          </w:p>
        </w:tc>
        <w:tc>
          <w:tcPr>
            <w:tcW w:w="3790" w:type="dxa"/>
            <w:tcBorders>
              <w:top w:val="single" w:sz="4" w:space="0" w:color="auto"/>
              <w:left w:val="single" w:sz="12" w:space="0" w:color="auto"/>
              <w:bottom w:val="single" w:sz="4" w:space="0" w:color="auto"/>
              <w:right w:val="single" w:sz="12" w:space="0" w:color="auto"/>
            </w:tcBorders>
            <w:vAlign w:val="center"/>
          </w:tcPr>
          <w:p w:rsidR="00410142" w:rsidRPr="00410142" w:rsidRDefault="0088154F" w:rsidP="00410142">
            <w:pPr>
              <w:jc w:val="center"/>
            </w:pPr>
            <w:r>
              <w:t>$11.28/cwt</w:t>
            </w:r>
          </w:p>
        </w:tc>
        <w:tc>
          <w:tcPr>
            <w:tcW w:w="4040" w:type="dxa"/>
            <w:tcBorders>
              <w:left w:val="single" w:sz="12" w:space="0" w:color="auto"/>
            </w:tcBorders>
            <w:vAlign w:val="center"/>
          </w:tcPr>
          <w:p w:rsidR="00410142" w:rsidRPr="00410142" w:rsidRDefault="0088154F" w:rsidP="00410142">
            <w:pPr>
              <w:jc w:val="center"/>
            </w:pPr>
            <w:r>
              <w:t>$14.00/cwt</w:t>
            </w:r>
          </w:p>
        </w:tc>
      </w:tr>
      <w:tr w:rsidR="00410142" w:rsidRPr="00410142" w:rsidTr="00BD5AD2">
        <w:trPr>
          <w:jc w:val="center"/>
        </w:trPr>
        <w:tc>
          <w:tcPr>
            <w:tcW w:w="2875" w:type="dxa"/>
            <w:tcBorders>
              <w:right w:val="single" w:sz="12" w:space="0" w:color="auto"/>
            </w:tcBorders>
            <w:shd w:val="clear" w:color="auto" w:fill="F2F2F2" w:themeFill="background1" w:themeFillShade="F2"/>
            <w:vAlign w:val="center"/>
          </w:tcPr>
          <w:p w:rsidR="00410142" w:rsidRPr="00410142" w:rsidRDefault="00410142" w:rsidP="00410142">
            <w:pPr>
              <w:jc w:val="center"/>
            </w:pPr>
            <w:r w:rsidRPr="00410142">
              <w:t>Graded Wool</w:t>
            </w:r>
          </w:p>
        </w:tc>
        <w:tc>
          <w:tcPr>
            <w:tcW w:w="379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10142" w:rsidRPr="00410142" w:rsidRDefault="0088154F" w:rsidP="00410142">
            <w:pPr>
              <w:jc w:val="center"/>
            </w:pPr>
            <w:r>
              <w:t>$1.15/</w:t>
            </w:r>
            <w:r w:rsidR="00F948AE">
              <w:t>lb.</w:t>
            </w:r>
          </w:p>
        </w:tc>
        <w:tc>
          <w:tcPr>
            <w:tcW w:w="4040" w:type="dxa"/>
            <w:tcBorders>
              <w:left w:val="single" w:sz="12" w:space="0" w:color="auto"/>
            </w:tcBorders>
            <w:shd w:val="clear" w:color="auto" w:fill="F2F2F2" w:themeFill="background1" w:themeFillShade="F2"/>
            <w:vAlign w:val="center"/>
          </w:tcPr>
          <w:p w:rsidR="00410142" w:rsidRPr="00410142" w:rsidRDefault="0088154F" w:rsidP="00410142">
            <w:pPr>
              <w:jc w:val="center"/>
            </w:pPr>
            <w:r>
              <w:t>$1.15/</w:t>
            </w:r>
            <w:r w:rsidR="00F948AE">
              <w:t>lb.</w:t>
            </w:r>
          </w:p>
        </w:tc>
      </w:tr>
      <w:tr w:rsidR="00410142" w:rsidRPr="00410142" w:rsidTr="00BD5AD2">
        <w:trPr>
          <w:jc w:val="center"/>
        </w:trPr>
        <w:tc>
          <w:tcPr>
            <w:tcW w:w="2875" w:type="dxa"/>
            <w:tcBorders>
              <w:right w:val="single" w:sz="12" w:space="0" w:color="auto"/>
            </w:tcBorders>
            <w:vAlign w:val="center"/>
          </w:tcPr>
          <w:p w:rsidR="00410142" w:rsidRPr="00410142" w:rsidRDefault="00410142" w:rsidP="00410142">
            <w:pPr>
              <w:jc w:val="center"/>
            </w:pPr>
            <w:r w:rsidRPr="00410142">
              <w:t>Nongraded Wool</w:t>
            </w:r>
          </w:p>
        </w:tc>
        <w:tc>
          <w:tcPr>
            <w:tcW w:w="3790" w:type="dxa"/>
            <w:tcBorders>
              <w:top w:val="single" w:sz="4" w:space="0" w:color="auto"/>
              <w:left w:val="single" w:sz="12" w:space="0" w:color="auto"/>
              <w:bottom w:val="single" w:sz="4" w:space="0" w:color="auto"/>
              <w:right w:val="single" w:sz="12" w:space="0" w:color="auto"/>
            </w:tcBorders>
            <w:vAlign w:val="center"/>
          </w:tcPr>
          <w:p w:rsidR="00410142" w:rsidRPr="00410142" w:rsidRDefault="0088154F" w:rsidP="00410142">
            <w:pPr>
              <w:jc w:val="center"/>
            </w:pPr>
            <w:r>
              <w:t>$0.40/</w:t>
            </w:r>
            <w:r w:rsidR="00F948AE">
              <w:t>lb.</w:t>
            </w:r>
          </w:p>
        </w:tc>
        <w:tc>
          <w:tcPr>
            <w:tcW w:w="4040" w:type="dxa"/>
            <w:tcBorders>
              <w:left w:val="single" w:sz="12" w:space="0" w:color="auto"/>
            </w:tcBorders>
            <w:vAlign w:val="center"/>
          </w:tcPr>
          <w:p w:rsidR="00410142" w:rsidRPr="00410142" w:rsidRDefault="0088154F" w:rsidP="00410142">
            <w:pPr>
              <w:jc w:val="center"/>
            </w:pPr>
            <w:r>
              <w:t>$0.40/</w:t>
            </w:r>
            <w:r w:rsidR="00F948AE">
              <w:t>lb.</w:t>
            </w:r>
          </w:p>
        </w:tc>
      </w:tr>
      <w:tr w:rsidR="00410142" w:rsidRPr="00410142" w:rsidTr="00BD5AD2">
        <w:trPr>
          <w:jc w:val="center"/>
        </w:trPr>
        <w:tc>
          <w:tcPr>
            <w:tcW w:w="2875" w:type="dxa"/>
            <w:tcBorders>
              <w:right w:val="single" w:sz="12" w:space="0" w:color="auto"/>
            </w:tcBorders>
            <w:shd w:val="clear" w:color="auto" w:fill="F2F2F2" w:themeFill="background1" w:themeFillShade="F2"/>
            <w:vAlign w:val="center"/>
          </w:tcPr>
          <w:p w:rsidR="00410142" w:rsidRPr="00410142" w:rsidRDefault="00410142" w:rsidP="00410142">
            <w:pPr>
              <w:jc w:val="center"/>
            </w:pPr>
            <w:r w:rsidRPr="00410142">
              <w:t>Mohair</w:t>
            </w:r>
          </w:p>
        </w:tc>
        <w:tc>
          <w:tcPr>
            <w:tcW w:w="379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10142" w:rsidRPr="00410142" w:rsidRDefault="0088154F" w:rsidP="00410142">
            <w:pPr>
              <w:jc w:val="center"/>
            </w:pPr>
            <w:r>
              <w:t>$4.20/</w:t>
            </w:r>
            <w:r w:rsidR="00F948AE">
              <w:t>lb.</w:t>
            </w:r>
          </w:p>
        </w:tc>
        <w:tc>
          <w:tcPr>
            <w:tcW w:w="4040" w:type="dxa"/>
            <w:tcBorders>
              <w:left w:val="single" w:sz="12" w:space="0" w:color="auto"/>
            </w:tcBorders>
            <w:shd w:val="clear" w:color="auto" w:fill="F2F2F2" w:themeFill="background1" w:themeFillShade="F2"/>
            <w:vAlign w:val="center"/>
          </w:tcPr>
          <w:p w:rsidR="00410142" w:rsidRPr="00410142" w:rsidRDefault="0088154F" w:rsidP="00410142">
            <w:pPr>
              <w:jc w:val="center"/>
            </w:pPr>
            <w:r>
              <w:t>$4.20/</w:t>
            </w:r>
            <w:r w:rsidR="00F948AE">
              <w:t>lb.</w:t>
            </w:r>
          </w:p>
        </w:tc>
      </w:tr>
      <w:tr w:rsidR="00410142" w:rsidRPr="00410142" w:rsidTr="00BD5AD2">
        <w:trPr>
          <w:jc w:val="center"/>
        </w:trPr>
        <w:tc>
          <w:tcPr>
            <w:tcW w:w="2875" w:type="dxa"/>
            <w:tcBorders>
              <w:right w:val="single" w:sz="12" w:space="0" w:color="auto"/>
            </w:tcBorders>
            <w:vAlign w:val="center"/>
          </w:tcPr>
          <w:p w:rsidR="00410142" w:rsidRPr="00410142" w:rsidRDefault="00410142" w:rsidP="00410142">
            <w:pPr>
              <w:jc w:val="center"/>
            </w:pPr>
            <w:r w:rsidRPr="00410142">
              <w:t>Honey</w:t>
            </w:r>
          </w:p>
        </w:tc>
        <w:tc>
          <w:tcPr>
            <w:tcW w:w="3790" w:type="dxa"/>
            <w:tcBorders>
              <w:top w:val="single" w:sz="4" w:space="0" w:color="auto"/>
              <w:left w:val="single" w:sz="12" w:space="0" w:color="auto"/>
              <w:bottom w:val="single" w:sz="4" w:space="0" w:color="auto"/>
              <w:right w:val="single" w:sz="12" w:space="0" w:color="auto"/>
            </w:tcBorders>
            <w:vAlign w:val="center"/>
          </w:tcPr>
          <w:p w:rsidR="00410142" w:rsidRPr="00410142" w:rsidRDefault="0088154F" w:rsidP="00410142">
            <w:pPr>
              <w:jc w:val="center"/>
            </w:pPr>
            <w:r>
              <w:t>$0.69/</w:t>
            </w:r>
            <w:r w:rsidR="00F948AE">
              <w:t>lb.</w:t>
            </w:r>
          </w:p>
        </w:tc>
        <w:tc>
          <w:tcPr>
            <w:tcW w:w="4040" w:type="dxa"/>
            <w:tcBorders>
              <w:left w:val="single" w:sz="12" w:space="0" w:color="auto"/>
            </w:tcBorders>
            <w:vAlign w:val="center"/>
          </w:tcPr>
          <w:p w:rsidR="00410142" w:rsidRPr="00410142" w:rsidRDefault="0088154F" w:rsidP="00410142">
            <w:pPr>
              <w:jc w:val="center"/>
            </w:pPr>
            <w:r>
              <w:t>$0.69/</w:t>
            </w:r>
            <w:r w:rsidR="00F948AE">
              <w:t>lb.</w:t>
            </w:r>
          </w:p>
        </w:tc>
      </w:tr>
      <w:tr w:rsidR="00410142" w:rsidRPr="00410142" w:rsidTr="00BD5AD2">
        <w:trPr>
          <w:jc w:val="center"/>
        </w:trPr>
        <w:tc>
          <w:tcPr>
            <w:tcW w:w="2875" w:type="dxa"/>
            <w:tcBorders>
              <w:right w:val="single" w:sz="12" w:space="0" w:color="auto"/>
            </w:tcBorders>
            <w:shd w:val="clear" w:color="auto" w:fill="F2F2F2" w:themeFill="background1" w:themeFillShade="F2"/>
            <w:vAlign w:val="center"/>
          </w:tcPr>
          <w:p w:rsidR="00410142" w:rsidRPr="00410142" w:rsidRDefault="00410142" w:rsidP="00410142">
            <w:pPr>
              <w:jc w:val="center"/>
            </w:pPr>
            <w:r w:rsidRPr="00410142">
              <w:t>Peanuts</w:t>
            </w:r>
          </w:p>
        </w:tc>
        <w:tc>
          <w:tcPr>
            <w:tcW w:w="379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410142" w:rsidRPr="00410142" w:rsidRDefault="0088154F" w:rsidP="00410142">
            <w:pPr>
              <w:jc w:val="center"/>
            </w:pPr>
            <w:r>
              <w:t>$355/</w:t>
            </w:r>
            <w:r w:rsidR="00410142" w:rsidRPr="00410142">
              <w:t>ton</w:t>
            </w:r>
          </w:p>
        </w:tc>
        <w:tc>
          <w:tcPr>
            <w:tcW w:w="4040" w:type="dxa"/>
            <w:tcBorders>
              <w:left w:val="single" w:sz="12" w:space="0" w:color="auto"/>
            </w:tcBorders>
            <w:shd w:val="clear" w:color="auto" w:fill="F2F2F2" w:themeFill="background1" w:themeFillShade="F2"/>
            <w:vAlign w:val="center"/>
          </w:tcPr>
          <w:p w:rsidR="00410142" w:rsidRPr="00410142" w:rsidRDefault="0088154F" w:rsidP="00410142">
            <w:pPr>
              <w:jc w:val="center"/>
            </w:pPr>
            <w:r>
              <w:t>$355/</w:t>
            </w:r>
            <w:r w:rsidR="00410142" w:rsidRPr="00410142">
              <w:t>ton</w:t>
            </w:r>
          </w:p>
        </w:tc>
      </w:tr>
      <w:tr w:rsidR="00410142" w:rsidRPr="00410142" w:rsidTr="00BD5AD2">
        <w:trPr>
          <w:jc w:val="center"/>
        </w:trPr>
        <w:tc>
          <w:tcPr>
            <w:tcW w:w="2875" w:type="dxa"/>
            <w:tcBorders>
              <w:right w:val="single" w:sz="12" w:space="0" w:color="auto"/>
            </w:tcBorders>
            <w:vAlign w:val="center"/>
          </w:tcPr>
          <w:p w:rsidR="00410142" w:rsidRPr="00410142" w:rsidRDefault="00410142" w:rsidP="00410142">
            <w:pPr>
              <w:jc w:val="center"/>
              <w:rPr>
                <w:u w:val="single"/>
              </w:rPr>
            </w:pPr>
            <w:r w:rsidRPr="00410142">
              <w:rPr>
                <w:u w:val="single"/>
              </w:rPr>
              <w:t>Sugar</w:t>
            </w:r>
          </w:p>
          <w:p w:rsidR="00410142" w:rsidRPr="00410142" w:rsidRDefault="00410142" w:rsidP="00410142">
            <w:pPr>
              <w:numPr>
                <w:ilvl w:val="0"/>
                <w:numId w:val="6"/>
              </w:numPr>
              <w:ind w:left="342" w:hanging="192"/>
              <w:contextualSpacing/>
            </w:pPr>
            <w:r w:rsidRPr="00410142">
              <w:t>Beet Sugar, Refined</w:t>
            </w:r>
          </w:p>
          <w:p w:rsidR="00410142" w:rsidRPr="00410142" w:rsidRDefault="00410142" w:rsidP="00410142">
            <w:pPr>
              <w:numPr>
                <w:ilvl w:val="0"/>
                <w:numId w:val="6"/>
              </w:numPr>
              <w:ind w:left="342" w:hanging="192"/>
              <w:contextualSpacing/>
            </w:pPr>
            <w:r w:rsidRPr="00410142">
              <w:t>Cane Sugar, Raw Value</w:t>
            </w:r>
          </w:p>
        </w:tc>
        <w:tc>
          <w:tcPr>
            <w:tcW w:w="3790" w:type="dxa"/>
            <w:tcBorders>
              <w:top w:val="single" w:sz="4" w:space="0" w:color="auto"/>
              <w:left w:val="single" w:sz="12" w:space="0" w:color="auto"/>
              <w:bottom w:val="single" w:sz="12" w:space="0" w:color="auto"/>
              <w:right w:val="single" w:sz="12" w:space="0" w:color="auto"/>
            </w:tcBorders>
            <w:vAlign w:val="center"/>
          </w:tcPr>
          <w:p w:rsidR="00410142" w:rsidRPr="00410142" w:rsidRDefault="00410142" w:rsidP="00410142">
            <w:pPr>
              <w:jc w:val="center"/>
            </w:pPr>
          </w:p>
          <w:p w:rsidR="0088154F" w:rsidRDefault="0088154F" w:rsidP="0088154F">
            <w:pPr>
              <w:pStyle w:val="ListParagraph"/>
              <w:numPr>
                <w:ilvl w:val="0"/>
                <w:numId w:val="6"/>
              </w:numPr>
              <w:ind w:left="346" w:hanging="270"/>
              <w:jc w:val="center"/>
            </w:pPr>
            <w:r>
              <w:t>$0.2409/</w:t>
            </w:r>
            <w:r w:rsidR="00F948AE">
              <w:t>lb.</w:t>
            </w:r>
          </w:p>
          <w:p w:rsidR="00410142" w:rsidRPr="00410142" w:rsidRDefault="0088154F" w:rsidP="0088154F">
            <w:pPr>
              <w:pStyle w:val="ListParagraph"/>
              <w:numPr>
                <w:ilvl w:val="0"/>
                <w:numId w:val="6"/>
              </w:numPr>
              <w:ind w:left="346" w:hanging="270"/>
              <w:jc w:val="center"/>
            </w:pPr>
            <w:r>
              <w:t>$0.1875/</w:t>
            </w:r>
            <w:r w:rsidR="00F948AE">
              <w:t>lb.</w:t>
            </w:r>
          </w:p>
        </w:tc>
        <w:tc>
          <w:tcPr>
            <w:tcW w:w="4040" w:type="dxa"/>
            <w:tcBorders>
              <w:left w:val="single" w:sz="12" w:space="0" w:color="auto"/>
            </w:tcBorders>
            <w:vAlign w:val="center"/>
          </w:tcPr>
          <w:p w:rsidR="00410142" w:rsidRPr="00410142" w:rsidRDefault="00410142" w:rsidP="00410142">
            <w:pPr>
              <w:jc w:val="center"/>
            </w:pPr>
          </w:p>
          <w:p w:rsidR="0088154F" w:rsidRDefault="00410142" w:rsidP="0088154F">
            <w:pPr>
              <w:pStyle w:val="ListParagraph"/>
              <w:numPr>
                <w:ilvl w:val="0"/>
                <w:numId w:val="6"/>
              </w:numPr>
              <w:ind w:left="241" w:hanging="241"/>
              <w:jc w:val="center"/>
            </w:pPr>
            <w:r w:rsidRPr="00410142">
              <w:t>$0.2409</w:t>
            </w:r>
            <w:r w:rsidR="0088154F">
              <w:t>/</w:t>
            </w:r>
            <w:r w:rsidR="00F948AE">
              <w:t>lb.</w:t>
            </w:r>
          </w:p>
          <w:p w:rsidR="00410142" w:rsidRPr="00410142" w:rsidRDefault="00410142" w:rsidP="0088154F">
            <w:pPr>
              <w:pStyle w:val="ListParagraph"/>
              <w:numPr>
                <w:ilvl w:val="0"/>
                <w:numId w:val="6"/>
              </w:numPr>
              <w:ind w:left="241" w:hanging="241"/>
              <w:jc w:val="center"/>
            </w:pPr>
            <w:r w:rsidRPr="00410142">
              <w:t>$0.1975</w:t>
            </w:r>
            <w:r w:rsidR="0088154F">
              <w:t>/</w:t>
            </w:r>
            <w:r w:rsidR="00F948AE">
              <w:t>lb.</w:t>
            </w:r>
          </w:p>
        </w:tc>
      </w:tr>
    </w:tbl>
    <w:p w:rsidR="000E6942" w:rsidRDefault="000E6942" w:rsidP="00410142">
      <w:pPr>
        <w:spacing w:after="0"/>
      </w:pPr>
    </w:p>
    <w:p w:rsidR="003338DC" w:rsidRDefault="003338DC" w:rsidP="00410142">
      <w:pPr>
        <w:spacing w:after="0"/>
      </w:pPr>
    </w:p>
    <w:p w:rsidR="00B63F29" w:rsidRDefault="00B63F29" w:rsidP="00410142">
      <w:pPr>
        <w:spacing w:after="0"/>
      </w:pPr>
    </w:p>
    <w:p w:rsidR="00F3033A" w:rsidRPr="00BD5AD2" w:rsidRDefault="004676BB" w:rsidP="00410142">
      <w:pPr>
        <w:spacing w:after="0"/>
        <w:rPr>
          <w:b/>
        </w:rPr>
      </w:pPr>
      <w:r w:rsidRPr="00BD5AD2">
        <w:rPr>
          <w:b/>
        </w:rPr>
        <w:t>Dairy</w:t>
      </w:r>
      <w:r w:rsidR="00361600" w:rsidRPr="00BD5AD2">
        <w:rPr>
          <w:b/>
        </w:rPr>
        <w:t xml:space="preserve"> Programs</w:t>
      </w:r>
      <w:r w:rsidR="004D3775" w:rsidRPr="00BD5AD2">
        <w:rPr>
          <w:b/>
        </w:rPr>
        <w:t xml:space="preserve"> </w:t>
      </w:r>
    </w:p>
    <w:p w:rsidR="00210CFC" w:rsidRPr="00BD5AD2" w:rsidRDefault="00210CFC" w:rsidP="00210CFC">
      <w:pPr>
        <w:pStyle w:val="ListParagraph"/>
        <w:numPr>
          <w:ilvl w:val="0"/>
          <w:numId w:val="9"/>
        </w:numPr>
        <w:spacing w:after="0"/>
        <w:rPr>
          <w:b/>
        </w:rPr>
      </w:pPr>
      <w:r w:rsidRPr="00BD5AD2">
        <w:rPr>
          <w:b/>
        </w:rPr>
        <w:t>Dairy Margin Coverage Program</w:t>
      </w:r>
    </w:p>
    <w:p w:rsidR="00210CFC" w:rsidRDefault="00210CFC" w:rsidP="00210CFC">
      <w:pPr>
        <w:pStyle w:val="ListParagraph"/>
        <w:numPr>
          <w:ilvl w:val="1"/>
          <w:numId w:val="9"/>
        </w:numPr>
        <w:spacing w:after="0"/>
      </w:pPr>
      <w:r>
        <w:t xml:space="preserve">The Dairy Margin Coverage Program (DMC) replaces the Margin Protection Program </w:t>
      </w:r>
      <w:r w:rsidR="00865273">
        <w:t xml:space="preserve">for dairy producers </w:t>
      </w:r>
      <w:r>
        <w:t>(MPP)</w:t>
      </w:r>
      <w:r w:rsidR="007F1D88">
        <w:t>.</w:t>
      </w:r>
      <w:r>
        <w:t xml:space="preserve">  </w:t>
      </w:r>
    </w:p>
    <w:p w:rsidR="00210CFC" w:rsidRDefault="00210CFC" w:rsidP="00A374CC">
      <w:pPr>
        <w:pStyle w:val="ListParagraph"/>
        <w:numPr>
          <w:ilvl w:val="1"/>
          <w:numId w:val="9"/>
        </w:numPr>
        <w:spacing w:after="0"/>
      </w:pPr>
      <w:r>
        <w:t xml:space="preserve">Operations </w:t>
      </w:r>
      <w:r w:rsidR="004D3775">
        <w:t xml:space="preserve">may </w:t>
      </w:r>
      <w:r>
        <w:t xml:space="preserve">annually </w:t>
      </w:r>
      <w:r w:rsidR="005B5D69">
        <w:t xml:space="preserve">elect to receive coverage on a </w:t>
      </w:r>
      <w:r>
        <w:t xml:space="preserve">percentage of </w:t>
      </w:r>
      <w:r w:rsidR="004D3775">
        <w:t xml:space="preserve">the operation’s production history </w:t>
      </w:r>
      <w:r>
        <w:t xml:space="preserve">in </w:t>
      </w:r>
      <w:r w:rsidR="00E83D26">
        <w:t>five</w:t>
      </w:r>
      <w:r>
        <w:t xml:space="preserve"> percent increments to not exceed 95 percent.</w:t>
      </w:r>
      <w:r w:rsidR="007445DF">
        <w:t xml:space="preserve"> The 25 </w:t>
      </w:r>
      <w:r w:rsidR="004D3775">
        <w:t>percent minimum coverage percentage no longer applies.</w:t>
      </w:r>
    </w:p>
    <w:p w:rsidR="004D3775" w:rsidRDefault="004D3775" w:rsidP="00A374CC">
      <w:pPr>
        <w:pStyle w:val="ListParagraph"/>
        <w:spacing w:after="0"/>
        <w:ind w:left="1440"/>
      </w:pPr>
    </w:p>
    <w:tbl>
      <w:tblPr>
        <w:tblStyle w:val="TableGrid2"/>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5"/>
        <w:gridCol w:w="2700"/>
        <w:gridCol w:w="2970"/>
      </w:tblGrid>
      <w:tr w:rsidR="005B5D69" w:rsidRPr="00361600" w:rsidTr="00BD5AD2">
        <w:tc>
          <w:tcPr>
            <w:tcW w:w="7375" w:type="dxa"/>
            <w:gridSpan w:val="3"/>
            <w:tcBorders>
              <w:bottom w:val="single" w:sz="12" w:space="0" w:color="auto"/>
            </w:tcBorders>
            <w:vAlign w:val="center"/>
          </w:tcPr>
          <w:p w:rsidR="005B5D69" w:rsidRPr="00361600" w:rsidRDefault="005B5D69" w:rsidP="004D3775">
            <w:pPr>
              <w:jc w:val="center"/>
              <w:rPr>
                <w:b/>
              </w:rPr>
            </w:pPr>
            <w:r>
              <w:rPr>
                <w:b/>
              </w:rPr>
              <w:t>Dairy Margin Coverage: Premium Fees Paid by Producers</w:t>
            </w:r>
          </w:p>
        </w:tc>
      </w:tr>
      <w:tr w:rsidR="00210CFC" w:rsidRPr="00361600" w:rsidTr="00BD5AD2">
        <w:tc>
          <w:tcPr>
            <w:tcW w:w="1705" w:type="dxa"/>
            <w:tcBorders>
              <w:top w:val="single" w:sz="12" w:space="0" w:color="auto"/>
              <w:bottom w:val="single" w:sz="12" w:space="0" w:color="auto"/>
              <w:right w:val="single" w:sz="12" w:space="0" w:color="auto"/>
            </w:tcBorders>
            <w:shd w:val="clear" w:color="auto" w:fill="F2F2F2" w:themeFill="background1" w:themeFillShade="F2"/>
            <w:vAlign w:val="center"/>
          </w:tcPr>
          <w:p w:rsidR="00210CFC" w:rsidRPr="00361600" w:rsidRDefault="00210CFC" w:rsidP="004D3775">
            <w:pPr>
              <w:contextualSpacing/>
              <w:jc w:val="center"/>
              <w:rPr>
                <w:b/>
              </w:rPr>
            </w:pPr>
            <w:r w:rsidRPr="00361600">
              <w:rPr>
                <w:b/>
              </w:rPr>
              <w:t>Coverage Level</w:t>
            </w:r>
          </w:p>
        </w:tc>
        <w:tc>
          <w:tcPr>
            <w:tcW w:w="27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210CFC" w:rsidRPr="00361600" w:rsidRDefault="00210CFC" w:rsidP="004D3775">
            <w:pPr>
              <w:contextualSpacing/>
              <w:jc w:val="center"/>
              <w:rPr>
                <w:b/>
              </w:rPr>
            </w:pPr>
            <w:r w:rsidRPr="00361600">
              <w:rPr>
                <w:b/>
              </w:rPr>
              <w:t>Tier 1 Premium (per cwt)</w:t>
            </w:r>
          </w:p>
          <w:p w:rsidR="00210CFC" w:rsidRPr="00361600" w:rsidRDefault="00210CFC" w:rsidP="004D3775">
            <w:pPr>
              <w:contextualSpacing/>
              <w:jc w:val="center"/>
              <w:rPr>
                <w:b/>
                <w:i/>
              </w:rPr>
            </w:pPr>
            <w:r w:rsidRPr="00361600">
              <w:rPr>
                <w:b/>
                <w:i/>
              </w:rPr>
              <w:t>Covered production history less than 5 million pounds</w:t>
            </w:r>
          </w:p>
        </w:tc>
        <w:tc>
          <w:tcPr>
            <w:tcW w:w="2970" w:type="dxa"/>
            <w:tcBorders>
              <w:top w:val="single" w:sz="12" w:space="0" w:color="auto"/>
              <w:left w:val="single" w:sz="12" w:space="0" w:color="auto"/>
              <w:bottom w:val="single" w:sz="12" w:space="0" w:color="auto"/>
            </w:tcBorders>
            <w:shd w:val="clear" w:color="auto" w:fill="F2F2F2" w:themeFill="background1" w:themeFillShade="F2"/>
            <w:vAlign w:val="center"/>
          </w:tcPr>
          <w:p w:rsidR="00210CFC" w:rsidRPr="00361600" w:rsidRDefault="00210CFC" w:rsidP="004D3775">
            <w:pPr>
              <w:jc w:val="center"/>
              <w:rPr>
                <w:b/>
              </w:rPr>
            </w:pPr>
            <w:r w:rsidRPr="00361600">
              <w:rPr>
                <w:b/>
              </w:rPr>
              <w:t>Tier 2 Premium (per cwt)</w:t>
            </w:r>
          </w:p>
          <w:p w:rsidR="00210CFC" w:rsidRPr="00361600" w:rsidRDefault="00210CFC" w:rsidP="004D3775">
            <w:pPr>
              <w:contextualSpacing/>
              <w:jc w:val="center"/>
              <w:rPr>
                <w:b/>
                <w:i/>
              </w:rPr>
            </w:pPr>
            <w:r w:rsidRPr="00361600">
              <w:rPr>
                <w:b/>
                <w:i/>
              </w:rPr>
              <w:t>Covered production history greater than 5 million pounds</w:t>
            </w:r>
          </w:p>
        </w:tc>
      </w:tr>
      <w:tr w:rsidR="00210CFC" w:rsidRPr="00361600" w:rsidTr="00BD5AD2">
        <w:tc>
          <w:tcPr>
            <w:tcW w:w="1705" w:type="dxa"/>
            <w:tcBorders>
              <w:top w:val="single" w:sz="12" w:space="0" w:color="auto"/>
              <w:right w:val="single" w:sz="12" w:space="0" w:color="auto"/>
            </w:tcBorders>
            <w:vAlign w:val="center"/>
          </w:tcPr>
          <w:p w:rsidR="00210CFC" w:rsidRPr="00361600" w:rsidRDefault="00210CFC" w:rsidP="004D3775">
            <w:pPr>
              <w:contextualSpacing/>
              <w:jc w:val="center"/>
            </w:pPr>
            <w:r w:rsidRPr="00361600">
              <w:t>$4.00</w:t>
            </w:r>
          </w:p>
        </w:tc>
        <w:tc>
          <w:tcPr>
            <w:tcW w:w="2700" w:type="dxa"/>
            <w:tcBorders>
              <w:top w:val="single" w:sz="12" w:space="0" w:color="auto"/>
              <w:left w:val="single" w:sz="12" w:space="0" w:color="auto"/>
              <w:bottom w:val="single" w:sz="4" w:space="0" w:color="auto"/>
              <w:right w:val="single" w:sz="12" w:space="0" w:color="auto"/>
            </w:tcBorders>
            <w:vAlign w:val="center"/>
          </w:tcPr>
          <w:p w:rsidR="00210CFC" w:rsidRPr="00361600" w:rsidRDefault="00210CFC" w:rsidP="004D3775">
            <w:pPr>
              <w:contextualSpacing/>
              <w:jc w:val="center"/>
            </w:pPr>
            <w:r w:rsidRPr="00361600">
              <w:t>None</w:t>
            </w:r>
          </w:p>
        </w:tc>
        <w:tc>
          <w:tcPr>
            <w:tcW w:w="2970" w:type="dxa"/>
            <w:tcBorders>
              <w:top w:val="single" w:sz="12" w:space="0" w:color="auto"/>
              <w:left w:val="single" w:sz="12" w:space="0" w:color="auto"/>
            </w:tcBorders>
            <w:vAlign w:val="center"/>
          </w:tcPr>
          <w:p w:rsidR="00210CFC" w:rsidRPr="00361600" w:rsidRDefault="00210CFC" w:rsidP="004D3775">
            <w:pPr>
              <w:contextualSpacing/>
              <w:jc w:val="center"/>
            </w:pPr>
            <w:r w:rsidRPr="00361600">
              <w:t>None</w:t>
            </w:r>
          </w:p>
        </w:tc>
      </w:tr>
      <w:tr w:rsidR="00210CFC" w:rsidRPr="00361600" w:rsidTr="00BD5AD2">
        <w:tc>
          <w:tcPr>
            <w:tcW w:w="1705" w:type="dxa"/>
            <w:tcBorders>
              <w:right w:val="single" w:sz="12" w:space="0" w:color="auto"/>
            </w:tcBorders>
            <w:shd w:val="clear" w:color="auto" w:fill="F2F2F2" w:themeFill="background1" w:themeFillShade="F2"/>
            <w:vAlign w:val="center"/>
          </w:tcPr>
          <w:p w:rsidR="00210CFC" w:rsidRPr="00361600" w:rsidRDefault="00210CFC" w:rsidP="004D3775">
            <w:pPr>
              <w:contextualSpacing/>
              <w:jc w:val="center"/>
            </w:pPr>
            <w:r w:rsidRPr="00361600">
              <w:t>$4.50</w:t>
            </w:r>
          </w:p>
        </w:tc>
        <w:tc>
          <w:tcPr>
            <w:tcW w:w="270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210CFC" w:rsidRPr="00361600" w:rsidRDefault="00210CFC" w:rsidP="004D3775">
            <w:pPr>
              <w:contextualSpacing/>
              <w:jc w:val="center"/>
            </w:pPr>
            <w:r w:rsidRPr="00361600">
              <w:t>$0.0025</w:t>
            </w:r>
          </w:p>
        </w:tc>
        <w:tc>
          <w:tcPr>
            <w:tcW w:w="2970" w:type="dxa"/>
            <w:tcBorders>
              <w:left w:val="single" w:sz="12" w:space="0" w:color="auto"/>
            </w:tcBorders>
            <w:shd w:val="clear" w:color="auto" w:fill="F2F2F2" w:themeFill="background1" w:themeFillShade="F2"/>
            <w:vAlign w:val="center"/>
          </w:tcPr>
          <w:p w:rsidR="00210CFC" w:rsidRPr="00361600" w:rsidRDefault="00210CFC" w:rsidP="004D3775">
            <w:pPr>
              <w:contextualSpacing/>
              <w:jc w:val="center"/>
            </w:pPr>
            <w:r w:rsidRPr="00361600">
              <w:t>$0.0025</w:t>
            </w:r>
          </w:p>
        </w:tc>
      </w:tr>
      <w:tr w:rsidR="00210CFC" w:rsidRPr="00361600" w:rsidTr="00BD5AD2">
        <w:tc>
          <w:tcPr>
            <w:tcW w:w="1705" w:type="dxa"/>
            <w:tcBorders>
              <w:right w:val="single" w:sz="12" w:space="0" w:color="auto"/>
            </w:tcBorders>
            <w:vAlign w:val="center"/>
          </w:tcPr>
          <w:p w:rsidR="00210CFC" w:rsidRPr="00361600" w:rsidRDefault="00210CFC" w:rsidP="004D3775">
            <w:pPr>
              <w:contextualSpacing/>
              <w:jc w:val="center"/>
            </w:pPr>
            <w:r w:rsidRPr="00361600">
              <w:t>$5.00</w:t>
            </w:r>
          </w:p>
        </w:tc>
        <w:tc>
          <w:tcPr>
            <w:tcW w:w="2700" w:type="dxa"/>
            <w:tcBorders>
              <w:top w:val="single" w:sz="4" w:space="0" w:color="auto"/>
              <w:left w:val="single" w:sz="12" w:space="0" w:color="auto"/>
              <w:bottom w:val="single" w:sz="4" w:space="0" w:color="auto"/>
              <w:right w:val="single" w:sz="12" w:space="0" w:color="auto"/>
            </w:tcBorders>
            <w:vAlign w:val="center"/>
          </w:tcPr>
          <w:p w:rsidR="00210CFC" w:rsidRPr="00361600" w:rsidRDefault="00210CFC" w:rsidP="004D3775">
            <w:pPr>
              <w:contextualSpacing/>
              <w:jc w:val="center"/>
            </w:pPr>
            <w:r w:rsidRPr="00361600">
              <w:t>$0.005</w:t>
            </w:r>
          </w:p>
        </w:tc>
        <w:tc>
          <w:tcPr>
            <w:tcW w:w="2970" w:type="dxa"/>
            <w:tcBorders>
              <w:left w:val="single" w:sz="12" w:space="0" w:color="auto"/>
            </w:tcBorders>
            <w:vAlign w:val="center"/>
          </w:tcPr>
          <w:p w:rsidR="00210CFC" w:rsidRPr="00361600" w:rsidRDefault="00210CFC" w:rsidP="004D3775">
            <w:pPr>
              <w:contextualSpacing/>
              <w:jc w:val="center"/>
            </w:pPr>
            <w:r w:rsidRPr="00361600">
              <w:t>$0.005</w:t>
            </w:r>
          </w:p>
        </w:tc>
      </w:tr>
      <w:tr w:rsidR="00210CFC" w:rsidRPr="00361600" w:rsidTr="00BD5AD2">
        <w:tc>
          <w:tcPr>
            <w:tcW w:w="1705" w:type="dxa"/>
            <w:tcBorders>
              <w:right w:val="single" w:sz="12" w:space="0" w:color="auto"/>
            </w:tcBorders>
            <w:shd w:val="clear" w:color="auto" w:fill="F2F2F2" w:themeFill="background1" w:themeFillShade="F2"/>
            <w:vAlign w:val="center"/>
          </w:tcPr>
          <w:p w:rsidR="00210CFC" w:rsidRPr="00361600" w:rsidRDefault="00210CFC" w:rsidP="004D3775">
            <w:pPr>
              <w:contextualSpacing/>
              <w:jc w:val="center"/>
            </w:pPr>
            <w:r w:rsidRPr="00361600">
              <w:t>$5.50</w:t>
            </w:r>
          </w:p>
        </w:tc>
        <w:tc>
          <w:tcPr>
            <w:tcW w:w="270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210CFC" w:rsidRPr="00361600" w:rsidRDefault="00210CFC" w:rsidP="004D3775">
            <w:pPr>
              <w:contextualSpacing/>
              <w:jc w:val="center"/>
            </w:pPr>
            <w:r w:rsidRPr="00361600">
              <w:t>$0.030</w:t>
            </w:r>
          </w:p>
        </w:tc>
        <w:tc>
          <w:tcPr>
            <w:tcW w:w="2970" w:type="dxa"/>
            <w:tcBorders>
              <w:left w:val="single" w:sz="12" w:space="0" w:color="auto"/>
            </w:tcBorders>
            <w:shd w:val="clear" w:color="auto" w:fill="F2F2F2" w:themeFill="background1" w:themeFillShade="F2"/>
            <w:vAlign w:val="center"/>
          </w:tcPr>
          <w:p w:rsidR="00210CFC" w:rsidRPr="00361600" w:rsidRDefault="00210CFC" w:rsidP="004D3775">
            <w:pPr>
              <w:contextualSpacing/>
              <w:jc w:val="center"/>
            </w:pPr>
            <w:r w:rsidRPr="00361600">
              <w:t>$0.100</w:t>
            </w:r>
          </w:p>
        </w:tc>
      </w:tr>
      <w:tr w:rsidR="00210CFC" w:rsidRPr="00361600" w:rsidTr="00BD5AD2">
        <w:tc>
          <w:tcPr>
            <w:tcW w:w="1705" w:type="dxa"/>
            <w:tcBorders>
              <w:right w:val="single" w:sz="12" w:space="0" w:color="auto"/>
            </w:tcBorders>
            <w:vAlign w:val="center"/>
          </w:tcPr>
          <w:p w:rsidR="00210CFC" w:rsidRPr="00361600" w:rsidRDefault="00210CFC" w:rsidP="004D3775">
            <w:pPr>
              <w:contextualSpacing/>
              <w:jc w:val="center"/>
            </w:pPr>
            <w:r w:rsidRPr="00361600">
              <w:t>$6.00</w:t>
            </w:r>
          </w:p>
        </w:tc>
        <w:tc>
          <w:tcPr>
            <w:tcW w:w="2700" w:type="dxa"/>
            <w:tcBorders>
              <w:top w:val="single" w:sz="4" w:space="0" w:color="auto"/>
              <w:left w:val="single" w:sz="12" w:space="0" w:color="auto"/>
              <w:bottom w:val="single" w:sz="4" w:space="0" w:color="auto"/>
              <w:right w:val="single" w:sz="12" w:space="0" w:color="auto"/>
            </w:tcBorders>
            <w:vAlign w:val="center"/>
          </w:tcPr>
          <w:p w:rsidR="00210CFC" w:rsidRPr="00361600" w:rsidRDefault="00210CFC" w:rsidP="004D3775">
            <w:pPr>
              <w:contextualSpacing/>
              <w:jc w:val="center"/>
            </w:pPr>
            <w:r w:rsidRPr="00361600">
              <w:t>$0.050</w:t>
            </w:r>
          </w:p>
        </w:tc>
        <w:tc>
          <w:tcPr>
            <w:tcW w:w="2970" w:type="dxa"/>
            <w:tcBorders>
              <w:left w:val="single" w:sz="12" w:space="0" w:color="auto"/>
            </w:tcBorders>
            <w:vAlign w:val="center"/>
          </w:tcPr>
          <w:p w:rsidR="00210CFC" w:rsidRPr="00361600" w:rsidRDefault="00210CFC" w:rsidP="004D3775">
            <w:pPr>
              <w:contextualSpacing/>
              <w:jc w:val="center"/>
            </w:pPr>
            <w:r w:rsidRPr="00361600">
              <w:t>$0.310</w:t>
            </w:r>
          </w:p>
        </w:tc>
      </w:tr>
      <w:tr w:rsidR="00210CFC" w:rsidRPr="00361600" w:rsidTr="00BD5AD2">
        <w:tc>
          <w:tcPr>
            <w:tcW w:w="1705" w:type="dxa"/>
            <w:tcBorders>
              <w:right w:val="single" w:sz="12" w:space="0" w:color="auto"/>
            </w:tcBorders>
            <w:shd w:val="clear" w:color="auto" w:fill="F2F2F2" w:themeFill="background1" w:themeFillShade="F2"/>
            <w:vAlign w:val="center"/>
          </w:tcPr>
          <w:p w:rsidR="00210CFC" w:rsidRPr="00361600" w:rsidRDefault="00210CFC" w:rsidP="004D3775">
            <w:pPr>
              <w:contextualSpacing/>
              <w:jc w:val="center"/>
            </w:pPr>
            <w:r w:rsidRPr="00361600">
              <w:t>$6.50</w:t>
            </w:r>
          </w:p>
        </w:tc>
        <w:tc>
          <w:tcPr>
            <w:tcW w:w="270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210CFC" w:rsidRPr="00361600" w:rsidRDefault="00210CFC" w:rsidP="004D3775">
            <w:pPr>
              <w:contextualSpacing/>
              <w:jc w:val="center"/>
            </w:pPr>
            <w:r w:rsidRPr="00361600">
              <w:t>$0.070</w:t>
            </w:r>
          </w:p>
        </w:tc>
        <w:tc>
          <w:tcPr>
            <w:tcW w:w="2970" w:type="dxa"/>
            <w:tcBorders>
              <w:left w:val="single" w:sz="12" w:space="0" w:color="auto"/>
            </w:tcBorders>
            <w:shd w:val="clear" w:color="auto" w:fill="F2F2F2" w:themeFill="background1" w:themeFillShade="F2"/>
            <w:vAlign w:val="center"/>
          </w:tcPr>
          <w:p w:rsidR="00210CFC" w:rsidRPr="00361600" w:rsidRDefault="00210CFC" w:rsidP="004D3775">
            <w:pPr>
              <w:contextualSpacing/>
              <w:jc w:val="center"/>
            </w:pPr>
            <w:r w:rsidRPr="00361600">
              <w:t>$0.650</w:t>
            </w:r>
          </w:p>
        </w:tc>
      </w:tr>
      <w:tr w:rsidR="00210CFC" w:rsidRPr="00361600" w:rsidTr="00BD5AD2">
        <w:tc>
          <w:tcPr>
            <w:tcW w:w="1705" w:type="dxa"/>
            <w:tcBorders>
              <w:right w:val="single" w:sz="12" w:space="0" w:color="auto"/>
            </w:tcBorders>
            <w:vAlign w:val="center"/>
          </w:tcPr>
          <w:p w:rsidR="00210CFC" w:rsidRPr="00361600" w:rsidRDefault="00210CFC" w:rsidP="004D3775">
            <w:pPr>
              <w:contextualSpacing/>
              <w:jc w:val="center"/>
            </w:pPr>
            <w:r w:rsidRPr="00361600">
              <w:t>$7.00</w:t>
            </w:r>
          </w:p>
        </w:tc>
        <w:tc>
          <w:tcPr>
            <w:tcW w:w="2700" w:type="dxa"/>
            <w:tcBorders>
              <w:top w:val="single" w:sz="4" w:space="0" w:color="auto"/>
              <w:left w:val="single" w:sz="12" w:space="0" w:color="auto"/>
              <w:bottom w:val="single" w:sz="4" w:space="0" w:color="auto"/>
              <w:right w:val="single" w:sz="12" w:space="0" w:color="auto"/>
            </w:tcBorders>
            <w:vAlign w:val="center"/>
          </w:tcPr>
          <w:p w:rsidR="00210CFC" w:rsidRPr="00361600" w:rsidRDefault="00210CFC" w:rsidP="004D3775">
            <w:pPr>
              <w:contextualSpacing/>
              <w:jc w:val="center"/>
            </w:pPr>
            <w:r w:rsidRPr="00361600">
              <w:t>$0.080</w:t>
            </w:r>
          </w:p>
        </w:tc>
        <w:tc>
          <w:tcPr>
            <w:tcW w:w="2970" w:type="dxa"/>
            <w:tcBorders>
              <w:left w:val="single" w:sz="12" w:space="0" w:color="auto"/>
            </w:tcBorders>
            <w:vAlign w:val="center"/>
          </w:tcPr>
          <w:p w:rsidR="00210CFC" w:rsidRPr="00361600" w:rsidRDefault="00210CFC" w:rsidP="004D3775">
            <w:pPr>
              <w:contextualSpacing/>
              <w:jc w:val="center"/>
            </w:pPr>
            <w:r w:rsidRPr="00361600">
              <w:t>$1.107</w:t>
            </w:r>
          </w:p>
        </w:tc>
      </w:tr>
      <w:tr w:rsidR="00210CFC" w:rsidRPr="00361600" w:rsidTr="00BD5AD2">
        <w:tc>
          <w:tcPr>
            <w:tcW w:w="1705" w:type="dxa"/>
            <w:tcBorders>
              <w:right w:val="single" w:sz="12" w:space="0" w:color="auto"/>
            </w:tcBorders>
            <w:shd w:val="clear" w:color="auto" w:fill="F2F2F2" w:themeFill="background1" w:themeFillShade="F2"/>
            <w:vAlign w:val="center"/>
          </w:tcPr>
          <w:p w:rsidR="00210CFC" w:rsidRPr="00361600" w:rsidRDefault="00210CFC" w:rsidP="004D3775">
            <w:pPr>
              <w:contextualSpacing/>
              <w:jc w:val="center"/>
            </w:pPr>
            <w:r w:rsidRPr="00361600">
              <w:t>$7.50</w:t>
            </w:r>
          </w:p>
        </w:tc>
        <w:tc>
          <w:tcPr>
            <w:tcW w:w="270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210CFC" w:rsidRPr="00361600" w:rsidRDefault="00210CFC" w:rsidP="004D3775">
            <w:pPr>
              <w:contextualSpacing/>
              <w:jc w:val="center"/>
            </w:pPr>
            <w:r w:rsidRPr="00361600">
              <w:t>$0.090</w:t>
            </w:r>
          </w:p>
        </w:tc>
        <w:tc>
          <w:tcPr>
            <w:tcW w:w="2970" w:type="dxa"/>
            <w:tcBorders>
              <w:left w:val="single" w:sz="12" w:space="0" w:color="auto"/>
            </w:tcBorders>
            <w:shd w:val="clear" w:color="auto" w:fill="F2F2F2" w:themeFill="background1" w:themeFillShade="F2"/>
            <w:vAlign w:val="center"/>
          </w:tcPr>
          <w:p w:rsidR="00210CFC" w:rsidRPr="00361600" w:rsidRDefault="00210CFC" w:rsidP="004D3775">
            <w:pPr>
              <w:contextualSpacing/>
              <w:jc w:val="center"/>
            </w:pPr>
            <w:r w:rsidRPr="00361600">
              <w:t>$1.413</w:t>
            </w:r>
          </w:p>
        </w:tc>
      </w:tr>
      <w:tr w:rsidR="00210CFC" w:rsidRPr="00361600" w:rsidTr="00BD5AD2">
        <w:tc>
          <w:tcPr>
            <w:tcW w:w="1705" w:type="dxa"/>
            <w:tcBorders>
              <w:right w:val="single" w:sz="12" w:space="0" w:color="auto"/>
            </w:tcBorders>
            <w:vAlign w:val="center"/>
          </w:tcPr>
          <w:p w:rsidR="00210CFC" w:rsidRPr="00361600" w:rsidRDefault="00210CFC" w:rsidP="004D3775">
            <w:pPr>
              <w:contextualSpacing/>
              <w:jc w:val="center"/>
            </w:pPr>
            <w:r w:rsidRPr="00361600">
              <w:t>$8.00</w:t>
            </w:r>
          </w:p>
        </w:tc>
        <w:tc>
          <w:tcPr>
            <w:tcW w:w="2700" w:type="dxa"/>
            <w:tcBorders>
              <w:top w:val="single" w:sz="4" w:space="0" w:color="auto"/>
              <w:left w:val="single" w:sz="12" w:space="0" w:color="auto"/>
              <w:bottom w:val="single" w:sz="4" w:space="0" w:color="auto"/>
              <w:right w:val="single" w:sz="12" w:space="0" w:color="auto"/>
            </w:tcBorders>
            <w:vAlign w:val="center"/>
          </w:tcPr>
          <w:p w:rsidR="00210CFC" w:rsidRPr="00361600" w:rsidRDefault="00210CFC" w:rsidP="004D3775">
            <w:pPr>
              <w:contextualSpacing/>
              <w:jc w:val="center"/>
            </w:pPr>
            <w:r w:rsidRPr="00361600">
              <w:t>$0.100</w:t>
            </w:r>
          </w:p>
        </w:tc>
        <w:tc>
          <w:tcPr>
            <w:tcW w:w="2970" w:type="dxa"/>
            <w:tcBorders>
              <w:left w:val="single" w:sz="12" w:space="0" w:color="auto"/>
            </w:tcBorders>
            <w:vAlign w:val="center"/>
          </w:tcPr>
          <w:p w:rsidR="00210CFC" w:rsidRPr="00361600" w:rsidRDefault="00210CFC" w:rsidP="004D3775">
            <w:pPr>
              <w:contextualSpacing/>
              <w:jc w:val="center"/>
            </w:pPr>
            <w:r w:rsidRPr="00361600">
              <w:t>$1.813</w:t>
            </w:r>
          </w:p>
        </w:tc>
      </w:tr>
      <w:tr w:rsidR="00210CFC" w:rsidRPr="00361600" w:rsidTr="00BD5AD2">
        <w:tc>
          <w:tcPr>
            <w:tcW w:w="1705" w:type="dxa"/>
            <w:tcBorders>
              <w:right w:val="single" w:sz="12" w:space="0" w:color="auto"/>
            </w:tcBorders>
            <w:shd w:val="clear" w:color="auto" w:fill="F2F2F2" w:themeFill="background1" w:themeFillShade="F2"/>
            <w:vAlign w:val="center"/>
          </w:tcPr>
          <w:p w:rsidR="00210CFC" w:rsidRPr="00361600" w:rsidRDefault="00210CFC" w:rsidP="004D3775">
            <w:pPr>
              <w:contextualSpacing/>
              <w:jc w:val="center"/>
            </w:pPr>
            <w:r w:rsidRPr="00361600">
              <w:t>$8.50</w:t>
            </w:r>
          </w:p>
        </w:tc>
        <w:tc>
          <w:tcPr>
            <w:tcW w:w="270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210CFC" w:rsidRPr="00361600" w:rsidRDefault="00210CFC" w:rsidP="004D3775">
            <w:pPr>
              <w:contextualSpacing/>
              <w:jc w:val="center"/>
            </w:pPr>
            <w:r w:rsidRPr="00361600">
              <w:t>$0.105</w:t>
            </w:r>
          </w:p>
        </w:tc>
        <w:tc>
          <w:tcPr>
            <w:tcW w:w="2970" w:type="dxa"/>
            <w:tcBorders>
              <w:left w:val="single" w:sz="12" w:space="0" w:color="auto"/>
            </w:tcBorders>
            <w:shd w:val="clear" w:color="auto" w:fill="F2F2F2" w:themeFill="background1" w:themeFillShade="F2"/>
            <w:vAlign w:val="center"/>
          </w:tcPr>
          <w:p w:rsidR="00210CFC" w:rsidRPr="00361600" w:rsidRDefault="00210CFC" w:rsidP="004D3775">
            <w:pPr>
              <w:contextualSpacing/>
              <w:jc w:val="center"/>
            </w:pPr>
            <w:r w:rsidRPr="00361600">
              <w:t>N/A</w:t>
            </w:r>
          </w:p>
        </w:tc>
      </w:tr>
      <w:tr w:rsidR="00210CFC" w:rsidRPr="00361600" w:rsidTr="00BD5AD2">
        <w:tc>
          <w:tcPr>
            <w:tcW w:w="1705" w:type="dxa"/>
            <w:tcBorders>
              <w:right w:val="single" w:sz="12" w:space="0" w:color="auto"/>
            </w:tcBorders>
            <w:vAlign w:val="center"/>
          </w:tcPr>
          <w:p w:rsidR="00210CFC" w:rsidRPr="00361600" w:rsidRDefault="00210CFC" w:rsidP="004D3775">
            <w:pPr>
              <w:contextualSpacing/>
              <w:jc w:val="center"/>
            </w:pPr>
            <w:r w:rsidRPr="00361600">
              <w:t>$9.00</w:t>
            </w:r>
          </w:p>
        </w:tc>
        <w:tc>
          <w:tcPr>
            <w:tcW w:w="2700" w:type="dxa"/>
            <w:tcBorders>
              <w:top w:val="single" w:sz="4" w:space="0" w:color="auto"/>
              <w:left w:val="single" w:sz="12" w:space="0" w:color="auto"/>
              <w:bottom w:val="single" w:sz="4" w:space="0" w:color="auto"/>
              <w:right w:val="single" w:sz="12" w:space="0" w:color="auto"/>
            </w:tcBorders>
            <w:vAlign w:val="center"/>
          </w:tcPr>
          <w:p w:rsidR="00210CFC" w:rsidRPr="00361600" w:rsidRDefault="00210CFC" w:rsidP="004D3775">
            <w:pPr>
              <w:contextualSpacing/>
              <w:jc w:val="center"/>
            </w:pPr>
            <w:r w:rsidRPr="00361600">
              <w:t>$0.110</w:t>
            </w:r>
          </w:p>
        </w:tc>
        <w:tc>
          <w:tcPr>
            <w:tcW w:w="2970" w:type="dxa"/>
            <w:tcBorders>
              <w:left w:val="single" w:sz="12" w:space="0" w:color="auto"/>
            </w:tcBorders>
            <w:vAlign w:val="center"/>
          </w:tcPr>
          <w:p w:rsidR="00210CFC" w:rsidRPr="00361600" w:rsidRDefault="00210CFC" w:rsidP="004D3775">
            <w:pPr>
              <w:contextualSpacing/>
              <w:jc w:val="center"/>
            </w:pPr>
            <w:r w:rsidRPr="00361600">
              <w:t>N/A</w:t>
            </w:r>
          </w:p>
        </w:tc>
      </w:tr>
      <w:tr w:rsidR="00210CFC" w:rsidRPr="00361600" w:rsidTr="00BD5AD2">
        <w:tc>
          <w:tcPr>
            <w:tcW w:w="1705" w:type="dxa"/>
            <w:tcBorders>
              <w:right w:val="single" w:sz="12" w:space="0" w:color="auto"/>
            </w:tcBorders>
            <w:shd w:val="clear" w:color="auto" w:fill="F2F2F2" w:themeFill="background1" w:themeFillShade="F2"/>
            <w:vAlign w:val="center"/>
          </w:tcPr>
          <w:p w:rsidR="00210CFC" w:rsidRPr="00361600" w:rsidRDefault="00210CFC" w:rsidP="004D3775">
            <w:pPr>
              <w:contextualSpacing/>
              <w:jc w:val="center"/>
            </w:pPr>
            <w:r w:rsidRPr="00361600">
              <w:t>$9.50</w:t>
            </w:r>
          </w:p>
        </w:tc>
        <w:tc>
          <w:tcPr>
            <w:tcW w:w="2700"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210CFC" w:rsidRPr="00361600" w:rsidRDefault="00210CFC" w:rsidP="004D3775">
            <w:pPr>
              <w:contextualSpacing/>
              <w:jc w:val="center"/>
            </w:pPr>
            <w:r w:rsidRPr="00361600">
              <w:t>$0.150</w:t>
            </w:r>
          </w:p>
        </w:tc>
        <w:tc>
          <w:tcPr>
            <w:tcW w:w="2970" w:type="dxa"/>
            <w:tcBorders>
              <w:left w:val="single" w:sz="12" w:space="0" w:color="auto"/>
            </w:tcBorders>
            <w:shd w:val="clear" w:color="auto" w:fill="F2F2F2" w:themeFill="background1" w:themeFillShade="F2"/>
            <w:vAlign w:val="center"/>
          </w:tcPr>
          <w:p w:rsidR="00210CFC" w:rsidRPr="00361600" w:rsidRDefault="00210CFC" w:rsidP="004D3775">
            <w:pPr>
              <w:contextualSpacing/>
              <w:jc w:val="center"/>
            </w:pPr>
            <w:r w:rsidRPr="00361600">
              <w:t>N/A</w:t>
            </w:r>
          </w:p>
        </w:tc>
      </w:tr>
    </w:tbl>
    <w:p w:rsidR="00210CFC" w:rsidRDefault="00210CFC" w:rsidP="00410142">
      <w:pPr>
        <w:spacing w:after="0"/>
      </w:pPr>
    </w:p>
    <w:p w:rsidR="004D3775" w:rsidRDefault="004B283D" w:rsidP="00A374CC">
      <w:pPr>
        <w:pStyle w:val="ListParagraph"/>
        <w:numPr>
          <w:ilvl w:val="1"/>
          <w:numId w:val="9"/>
        </w:numPr>
        <w:spacing w:after="0"/>
      </w:pPr>
      <w:r>
        <w:t>A d</w:t>
      </w:r>
      <w:r w:rsidR="004D3775">
        <w:t>airy operation which partic</w:t>
      </w:r>
      <w:r>
        <w:t>ipated in MPP from 2014-2017 may be</w:t>
      </w:r>
      <w:r w:rsidR="004D3775">
        <w:t xml:space="preserve"> eligible to apply </w:t>
      </w:r>
      <w:r w:rsidR="007445DF">
        <w:t xml:space="preserve">for </w:t>
      </w:r>
      <w:r>
        <w:t>a refund</w:t>
      </w:r>
      <w:r w:rsidR="007445DF">
        <w:t xml:space="preserve"> of </w:t>
      </w:r>
      <w:r>
        <w:t xml:space="preserve">the </w:t>
      </w:r>
      <w:r w:rsidR="007445DF">
        <w:t>premiums</w:t>
      </w:r>
      <w:r>
        <w:t xml:space="preserve"> </w:t>
      </w:r>
      <w:r w:rsidR="00F34A87">
        <w:t xml:space="preserve">the operation </w:t>
      </w:r>
      <w:r>
        <w:t>paid</w:t>
      </w:r>
      <w:r w:rsidR="00E83D26">
        <w:t xml:space="preserve">. </w:t>
      </w:r>
      <w:r w:rsidR="007445DF">
        <w:t>This</w:t>
      </w:r>
      <w:r w:rsidR="004D3775">
        <w:t xml:space="preserve"> is calculated by the total of </w:t>
      </w:r>
      <w:r>
        <w:t xml:space="preserve">premiums paid </w:t>
      </w:r>
      <w:r w:rsidR="00F34A87">
        <w:t xml:space="preserve">by the operation </w:t>
      </w:r>
      <w:r>
        <w:t xml:space="preserve">from 2014-2017 </w:t>
      </w:r>
      <w:r w:rsidR="007445DF">
        <w:t>minus</w:t>
      </w:r>
      <w:r w:rsidR="004D3775">
        <w:t xml:space="preserve"> the amount of</w:t>
      </w:r>
      <w:r w:rsidR="00963DFF">
        <w:t xml:space="preserve"> indemnity</w:t>
      </w:r>
      <w:r w:rsidR="004D3775">
        <w:t xml:space="preserve"> payments made </w:t>
      </w:r>
      <w:r w:rsidR="00F34A87">
        <w:t xml:space="preserve">to the operation </w:t>
      </w:r>
      <w:r w:rsidR="004D3775">
        <w:t xml:space="preserve">during the same </w:t>
      </w:r>
      <w:r w:rsidR="007445DF">
        <w:t>timeframe.</w:t>
      </w:r>
      <w:r w:rsidR="004D3775">
        <w:t xml:space="preserve">  For this payment, producers </w:t>
      </w:r>
      <w:r w:rsidR="00963DFF">
        <w:t>may</w:t>
      </w:r>
      <w:r w:rsidR="004D3775">
        <w:t xml:space="preserve"> elect either:</w:t>
      </w:r>
    </w:p>
    <w:p w:rsidR="004D3775" w:rsidRDefault="004B283D" w:rsidP="00A374CC">
      <w:pPr>
        <w:pStyle w:val="ListParagraph"/>
        <w:numPr>
          <w:ilvl w:val="2"/>
          <w:numId w:val="9"/>
        </w:numPr>
        <w:spacing w:after="0"/>
      </w:pPr>
      <w:r>
        <w:t>Option 1:</w:t>
      </w:r>
      <w:r w:rsidR="007445DF">
        <w:t xml:space="preserve"> 75 percent</w:t>
      </w:r>
      <w:r w:rsidR="004D3775">
        <w:t xml:space="preserve"> of the repayment can be used toward a credit us</w:t>
      </w:r>
      <w:r>
        <w:t xml:space="preserve">ed </w:t>
      </w:r>
      <w:r w:rsidRPr="00963DFF">
        <w:t xml:space="preserve">for </w:t>
      </w:r>
      <w:r w:rsidR="00963DFF" w:rsidRPr="00963DFF">
        <w:t xml:space="preserve">2019 </w:t>
      </w:r>
      <w:r w:rsidRPr="00963DFF">
        <w:t>dairy</w:t>
      </w:r>
      <w:r>
        <w:t xml:space="preserve"> margin coverage, or</w:t>
      </w:r>
    </w:p>
    <w:p w:rsidR="004D3775" w:rsidRDefault="004B283D" w:rsidP="00A374CC">
      <w:pPr>
        <w:pStyle w:val="ListParagraph"/>
        <w:numPr>
          <w:ilvl w:val="2"/>
          <w:numId w:val="9"/>
        </w:numPr>
        <w:spacing w:after="0"/>
      </w:pPr>
      <w:r>
        <w:t>Option 2</w:t>
      </w:r>
      <w:r w:rsidR="007445DF">
        <w:t>: 50 percent</w:t>
      </w:r>
      <w:r w:rsidR="004D3775">
        <w:t xml:space="preserve"> of the repayment taken as a direct cash repayment.</w:t>
      </w:r>
    </w:p>
    <w:p w:rsidR="00360B6D" w:rsidRDefault="00360B6D" w:rsidP="00A374CC">
      <w:pPr>
        <w:pStyle w:val="ListParagraph"/>
        <w:numPr>
          <w:ilvl w:val="1"/>
          <w:numId w:val="9"/>
        </w:numPr>
        <w:spacing w:after="0"/>
      </w:pPr>
      <w:r>
        <w:t>Producers who parti</w:t>
      </w:r>
      <w:r w:rsidR="00361600">
        <w:t>cipated in the 2018 LGM program</w:t>
      </w:r>
      <w:r w:rsidR="004D3775">
        <w:t xml:space="preserve"> and were ineligible to </w:t>
      </w:r>
      <w:r w:rsidR="00361600">
        <w:t xml:space="preserve">enroll in </w:t>
      </w:r>
      <w:r w:rsidR="004D3775">
        <w:t xml:space="preserve">2018 </w:t>
      </w:r>
      <w:r w:rsidR="00361600">
        <w:t xml:space="preserve">MPP </w:t>
      </w:r>
      <w:r w:rsidR="004D3775">
        <w:t xml:space="preserve">are eligible to </w:t>
      </w:r>
      <w:r w:rsidR="00361600">
        <w:t>enroll</w:t>
      </w:r>
      <w:r w:rsidR="004D3775">
        <w:t xml:space="preserve"> in 2018 MPP.</w:t>
      </w:r>
      <w:r w:rsidR="00E83D26">
        <w:t xml:space="preserve"> </w:t>
      </w:r>
      <w:r w:rsidR="00361600">
        <w:t xml:space="preserve">Payments will be made retroactively. </w:t>
      </w:r>
    </w:p>
    <w:p w:rsidR="00361600" w:rsidRPr="00BD5AD2" w:rsidRDefault="00361600" w:rsidP="00361600">
      <w:pPr>
        <w:pStyle w:val="ListParagraph"/>
        <w:numPr>
          <w:ilvl w:val="0"/>
          <w:numId w:val="10"/>
        </w:numPr>
        <w:spacing w:after="0"/>
        <w:rPr>
          <w:b/>
        </w:rPr>
      </w:pPr>
      <w:r w:rsidRPr="00BD5AD2">
        <w:rPr>
          <w:b/>
        </w:rPr>
        <w:t>Milk Donation Program</w:t>
      </w:r>
    </w:p>
    <w:p w:rsidR="004D3775" w:rsidRDefault="004D3775" w:rsidP="004D3775">
      <w:pPr>
        <w:pStyle w:val="ListParagraph"/>
        <w:numPr>
          <w:ilvl w:val="1"/>
          <w:numId w:val="10"/>
        </w:numPr>
        <w:spacing w:after="0"/>
      </w:pPr>
      <w:r>
        <w:t>Dairy</w:t>
      </w:r>
      <w:r w:rsidR="004018DF">
        <w:t xml:space="preserve"> farmers, cooperatives, and processors</w:t>
      </w:r>
      <w:r>
        <w:t xml:space="preserve"> may donate milk to eligible organizations which provide nutrition assistance to individuals in low-income groups.</w:t>
      </w:r>
    </w:p>
    <w:p w:rsidR="002C68CF" w:rsidRPr="00900C6E" w:rsidRDefault="004D3775">
      <w:pPr>
        <w:pStyle w:val="ListParagraph"/>
        <w:numPr>
          <w:ilvl w:val="1"/>
          <w:numId w:val="10"/>
        </w:numPr>
      </w:pPr>
      <w:r>
        <w:t>P</w:t>
      </w:r>
      <w:r w:rsidR="00900C6E">
        <w:t xml:space="preserve">roducers </w:t>
      </w:r>
      <w:r>
        <w:t>are</w:t>
      </w:r>
      <w:r w:rsidR="00900C6E" w:rsidRPr="00900C6E">
        <w:t xml:space="preserve"> eligible for reimbursement of qualified expenses</w:t>
      </w:r>
      <w:r w:rsidR="002C68CF">
        <w:t>.</w:t>
      </w:r>
      <w:r w:rsidR="002C68CF" w:rsidRPr="00900C6E" w:rsidDel="002C68CF">
        <w:t xml:space="preserve"> </w:t>
      </w:r>
    </w:p>
    <w:p w:rsidR="004D3775" w:rsidRPr="00BD5AD2" w:rsidRDefault="004D3775" w:rsidP="004D3775">
      <w:pPr>
        <w:pStyle w:val="ListParagraph"/>
        <w:numPr>
          <w:ilvl w:val="0"/>
          <w:numId w:val="10"/>
        </w:numPr>
        <w:spacing w:after="0"/>
        <w:rPr>
          <w:b/>
        </w:rPr>
      </w:pPr>
      <w:r w:rsidRPr="00BD5AD2">
        <w:rPr>
          <w:b/>
        </w:rPr>
        <w:t>Dairy Indemnity Payment Program (DIPP)</w:t>
      </w:r>
    </w:p>
    <w:p w:rsidR="004D3775" w:rsidRDefault="004B283D" w:rsidP="004D3775">
      <w:pPr>
        <w:pStyle w:val="ListParagraph"/>
        <w:numPr>
          <w:ilvl w:val="1"/>
          <w:numId w:val="10"/>
        </w:numPr>
        <w:spacing w:after="0"/>
      </w:pPr>
      <w:r>
        <w:t>DIPP</w:t>
      </w:r>
      <w:r w:rsidR="00F34A87">
        <w:t>, which</w:t>
      </w:r>
      <w:r w:rsidR="004D3775">
        <w:t xml:space="preserve"> </w:t>
      </w:r>
      <w:r w:rsidR="004D3775" w:rsidRPr="00361600">
        <w:t>provides payments to dairy producers when a public regulatory agency directs them to remove their milk from the commercial market because it has been contaminated by pesticides and other residues</w:t>
      </w:r>
      <w:r w:rsidR="004D3775">
        <w:t>, has been reauthorized till 2023</w:t>
      </w:r>
      <w:r w:rsidR="004D3775" w:rsidRPr="00361600">
        <w:t>.</w:t>
      </w:r>
    </w:p>
    <w:p w:rsidR="004D3775" w:rsidRDefault="004D3775" w:rsidP="00615C4A">
      <w:pPr>
        <w:spacing w:after="0"/>
      </w:pPr>
    </w:p>
    <w:p w:rsidR="00BD5AD2" w:rsidRDefault="00BD5AD2" w:rsidP="00615C4A">
      <w:pPr>
        <w:spacing w:after="0"/>
      </w:pPr>
    </w:p>
    <w:p w:rsidR="00B63F29" w:rsidRDefault="00B63F29" w:rsidP="00615C4A">
      <w:pPr>
        <w:spacing w:after="0"/>
      </w:pPr>
    </w:p>
    <w:p w:rsidR="004018DF" w:rsidRDefault="004018DF" w:rsidP="00615C4A">
      <w:pPr>
        <w:spacing w:after="0"/>
      </w:pPr>
    </w:p>
    <w:p w:rsidR="00B63F29" w:rsidRDefault="00B63F29" w:rsidP="00615C4A">
      <w:pPr>
        <w:spacing w:after="0"/>
      </w:pPr>
    </w:p>
    <w:p w:rsidR="00B63F29" w:rsidRDefault="00B63F29" w:rsidP="00615C4A">
      <w:pPr>
        <w:spacing w:after="0"/>
      </w:pPr>
    </w:p>
    <w:p w:rsidR="00095BF3" w:rsidRDefault="00095BF3" w:rsidP="00A374CC">
      <w:pPr>
        <w:spacing w:after="0"/>
        <w:rPr>
          <w:b/>
        </w:rPr>
      </w:pPr>
    </w:p>
    <w:p w:rsidR="00A374CC" w:rsidRPr="00BD5AD2" w:rsidRDefault="00A374CC" w:rsidP="00A374CC">
      <w:pPr>
        <w:spacing w:after="0"/>
        <w:rPr>
          <w:b/>
        </w:rPr>
      </w:pPr>
      <w:r w:rsidRPr="00BD5AD2">
        <w:rPr>
          <w:b/>
        </w:rPr>
        <w:t>Conservation</w:t>
      </w:r>
    </w:p>
    <w:p w:rsidR="00F850D0" w:rsidRDefault="00F850D0" w:rsidP="00F850D0">
      <w:pPr>
        <w:pStyle w:val="ListParagraph"/>
        <w:numPr>
          <w:ilvl w:val="0"/>
          <w:numId w:val="19"/>
        </w:numPr>
        <w:spacing w:after="0" w:line="256" w:lineRule="auto"/>
      </w:pPr>
      <w:r>
        <w:t>The 2018 Farm Bill reauthorizes the Conservation Reserve Program (CRP), including the Conservation Reserve Enhancement Program (CREP) and the Farmable Wetlands Program (FWP), and authorizes two new CRP pilot p</w:t>
      </w:r>
      <w:r w:rsidR="007445DF">
        <w:t>rograms, CLEAR 30 devoted to the</w:t>
      </w:r>
      <w:r>
        <w:t xml:space="preserve"> Clean Lakes, Estuaries, and Rivers </w:t>
      </w:r>
      <w:r w:rsidR="00FF76DD">
        <w:t xml:space="preserve">(CLEAR) </w:t>
      </w:r>
      <w:r>
        <w:t xml:space="preserve">priority </w:t>
      </w:r>
      <w:r w:rsidR="00A92794">
        <w:t xml:space="preserve">of the 2018 Farm Bill </w:t>
      </w:r>
      <w:r>
        <w:t>and the Soil Health and Income Protection Pilot Program (SHIPP).</w:t>
      </w:r>
    </w:p>
    <w:p w:rsidR="00F850D0" w:rsidRPr="00BD5AD2" w:rsidRDefault="00F850D0" w:rsidP="00F850D0">
      <w:pPr>
        <w:pStyle w:val="ListParagraph"/>
        <w:numPr>
          <w:ilvl w:val="0"/>
          <w:numId w:val="19"/>
        </w:numPr>
        <w:spacing w:after="0" w:line="256" w:lineRule="auto"/>
        <w:rPr>
          <w:b/>
        </w:rPr>
      </w:pPr>
      <w:r w:rsidRPr="00BD5AD2">
        <w:rPr>
          <w:b/>
        </w:rPr>
        <w:t>CRP</w:t>
      </w:r>
    </w:p>
    <w:p w:rsidR="00F850D0" w:rsidRDefault="00F850D0" w:rsidP="00F850D0">
      <w:pPr>
        <w:pStyle w:val="ListParagraph"/>
        <w:numPr>
          <w:ilvl w:val="1"/>
          <w:numId w:val="12"/>
        </w:numPr>
        <w:spacing w:after="0" w:line="256" w:lineRule="auto"/>
      </w:pPr>
      <w:r>
        <w:t xml:space="preserve">CRP participants establish and maintain valuable land cover to help improve water quality, prevent soil erosion, and reduce loss of wildlife habitat on cropland under 10-15-year contracts (with </w:t>
      </w:r>
      <w:r w:rsidR="00E83D26">
        <w:t xml:space="preserve">the opportunity to re-enroll). </w:t>
      </w:r>
      <w:r>
        <w:t>FSA provides participants with rental</w:t>
      </w:r>
      <w:r w:rsidR="00A92794">
        <w:t xml:space="preserve"> and incentive</w:t>
      </w:r>
      <w:r>
        <w:t xml:space="preserve"> payments and cost-share assistance.</w:t>
      </w:r>
    </w:p>
    <w:p w:rsidR="00F850D0" w:rsidRDefault="00F850D0" w:rsidP="00F850D0">
      <w:pPr>
        <w:pStyle w:val="ListParagraph"/>
        <w:numPr>
          <w:ilvl w:val="1"/>
          <w:numId w:val="12"/>
        </w:numPr>
        <w:spacing w:after="0" w:line="256" w:lineRule="auto"/>
      </w:pPr>
      <w:r>
        <w:t xml:space="preserve">By 2023 the acreage limit for CRP is 27 million, with at least 8.6 million acres devoted to continuous practices and </w:t>
      </w:r>
      <w:r w:rsidR="00E83D26">
        <w:t>two</w:t>
      </w:r>
      <w:r>
        <w:t xml:space="preserve"> million acres for grassland practices.  This includes a target of at least 40 percent of continuous CRP acres to water quality practices that are considered part of the CLEAR (Clean Lakes, Estuaries, and Rivers) Initiative. </w:t>
      </w:r>
    </w:p>
    <w:p w:rsidR="00A374CC" w:rsidRDefault="00A374CC" w:rsidP="00BD5AD2">
      <w:pPr>
        <w:pStyle w:val="ListParagraph"/>
        <w:spacing w:after="0" w:line="256" w:lineRule="auto"/>
        <w:ind w:left="1440"/>
      </w:pPr>
    </w:p>
    <w:tbl>
      <w:tblPr>
        <w:tblStyle w:val="TableGrid"/>
        <w:tblW w:w="9355" w:type="dxa"/>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0"/>
        <w:gridCol w:w="6955"/>
      </w:tblGrid>
      <w:tr w:rsidR="00BD5AD2" w:rsidTr="00BD5AD2">
        <w:tc>
          <w:tcPr>
            <w:tcW w:w="9355" w:type="dxa"/>
            <w:gridSpan w:val="2"/>
            <w:tcBorders>
              <w:bottom w:val="single" w:sz="12" w:space="0" w:color="auto"/>
            </w:tcBorders>
          </w:tcPr>
          <w:p w:rsidR="00BD5AD2" w:rsidRPr="004066CA" w:rsidRDefault="00BD5AD2" w:rsidP="004066CA">
            <w:pPr>
              <w:jc w:val="center"/>
              <w:rPr>
                <w:b/>
              </w:rPr>
            </w:pPr>
            <w:r>
              <w:rPr>
                <w:b/>
              </w:rPr>
              <w:t>CRP Payments</w:t>
            </w:r>
          </w:p>
        </w:tc>
      </w:tr>
      <w:tr w:rsidR="00A374CC" w:rsidTr="00BD5AD2">
        <w:tc>
          <w:tcPr>
            <w:tcW w:w="2400" w:type="dxa"/>
            <w:tcBorders>
              <w:top w:val="single" w:sz="12" w:space="0" w:color="auto"/>
              <w:bottom w:val="single" w:sz="12" w:space="0" w:color="auto"/>
              <w:right w:val="single" w:sz="12" w:space="0" w:color="auto"/>
            </w:tcBorders>
            <w:shd w:val="clear" w:color="auto" w:fill="F2F2F2" w:themeFill="background1" w:themeFillShade="F2"/>
            <w:hideMark/>
          </w:tcPr>
          <w:p w:rsidR="00A374CC" w:rsidRPr="004066CA" w:rsidRDefault="00A374CC" w:rsidP="004066CA">
            <w:pPr>
              <w:jc w:val="center"/>
              <w:rPr>
                <w:b/>
              </w:rPr>
            </w:pPr>
            <w:r w:rsidRPr="004066CA">
              <w:rPr>
                <w:b/>
              </w:rPr>
              <w:t>Payment type</w:t>
            </w:r>
          </w:p>
        </w:tc>
        <w:tc>
          <w:tcPr>
            <w:tcW w:w="6955" w:type="dxa"/>
            <w:tcBorders>
              <w:top w:val="single" w:sz="12" w:space="0" w:color="auto"/>
              <w:left w:val="single" w:sz="12" w:space="0" w:color="auto"/>
              <w:bottom w:val="single" w:sz="12" w:space="0" w:color="auto"/>
            </w:tcBorders>
            <w:shd w:val="clear" w:color="auto" w:fill="F2F2F2" w:themeFill="background1" w:themeFillShade="F2"/>
            <w:hideMark/>
          </w:tcPr>
          <w:p w:rsidR="00A374CC" w:rsidRPr="004066CA" w:rsidRDefault="00A374CC" w:rsidP="004066CA">
            <w:pPr>
              <w:jc w:val="center"/>
              <w:rPr>
                <w:b/>
              </w:rPr>
            </w:pPr>
            <w:r w:rsidRPr="004066CA">
              <w:rPr>
                <w:b/>
              </w:rPr>
              <w:t>Conditions</w:t>
            </w:r>
          </w:p>
        </w:tc>
      </w:tr>
      <w:tr w:rsidR="00F850D0" w:rsidTr="00BD5AD2">
        <w:tc>
          <w:tcPr>
            <w:tcW w:w="2400" w:type="dxa"/>
            <w:tcBorders>
              <w:top w:val="single" w:sz="12" w:space="0" w:color="auto"/>
              <w:right w:val="single" w:sz="12" w:space="0" w:color="auto"/>
            </w:tcBorders>
            <w:shd w:val="clear" w:color="auto" w:fill="auto"/>
            <w:vAlign w:val="center"/>
            <w:hideMark/>
          </w:tcPr>
          <w:p w:rsidR="00F850D0" w:rsidRDefault="00F850D0" w:rsidP="00F850D0">
            <w:pPr>
              <w:jc w:val="center"/>
            </w:pPr>
            <w:r w:rsidRPr="00F6753E">
              <w:t>Annual rental payment</w:t>
            </w:r>
            <w:r>
              <w:t>s</w:t>
            </w:r>
          </w:p>
        </w:tc>
        <w:tc>
          <w:tcPr>
            <w:tcW w:w="6955" w:type="dxa"/>
            <w:tcBorders>
              <w:top w:val="single" w:sz="12" w:space="0" w:color="auto"/>
              <w:left w:val="single" w:sz="12" w:space="0" w:color="auto"/>
              <w:bottom w:val="single" w:sz="4" w:space="0" w:color="auto"/>
            </w:tcBorders>
            <w:shd w:val="clear" w:color="auto" w:fill="auto"/>
            <w:vAlign w:val="center"/>
            <w:hideMark/>
          </w:tcPr>
          <w:p w:rsidR="00F850D0" w:rsidRPr="005F2202" w:rsidRDefault="00DE19D8" w:rsidP="00F850D0">
            <w:bookmarkStart w:id="2" w:name="_Hlk532991034"/>
            <w:r>
              <w:t>The</w:t>
            </w:r>
            <w:r w:rsidR="00F850D0" w:rsidRPr="005F2202">
              <w:t xml:space="preserve"> </w:t>
            </w:r>
            <w:r w:rsidR="00F850D0" w:rsidRPr="00F6753E">
              <w:t>annual rental payment</w:t>
            </w:r>
            <w:r w:rsidR="00F850D0" w:rsidRPr="00D016CC">
              <w:t xml:space="preserve"> is</w:t>
            </w:r>
            <w:r w:rsidR="00F850D0">
              <w:t xml:space="preserve"> </w:t>
            </w:r>
            <w:r w:rsidR="00F850D0" w:rsidRPr="00D016CC">
              <w:t xml:space="preserve">limited to </w:t>
            </w:r>
            <w:r w:rsidR="00F850D0" w:rsidRPr="00F6753E">
              <w:t>a percentage of the</w:t>
            </w:r>
            <w:r w:rsidR="00F850D0" w:rsidRPr="00D016CC">
              <w:t xml:space="preserve"> </w:t>
            </w:r>
            <w:r w:rsidR="00F850D0" w:rsidRPr="00F6753E">
              <w:t>estimated average county rental rate</w:t>
            </w:r>
            <w:bookmarkEnd w:id="2"/>
            <w:r w:rsidR="00F850D0" w:rsidRPr="00D016CC">
              <w:t>:</w:t>
            </w:r>
          </w:p>
          <w:p w:rsidR="004B283D" w:rsidRDefault="00F850D0" w:rsidP="00F850D0">
            <w:pPr>
              <w:pStyle w:val="ListParagraph"/>
              <w:numPr>
                <w:ilvl w:val="0"/>
                <w:numId w:val="14"/>
              </w:numPr>
              <w:ind w:left="361" w:hanging="270"/>
            </w:pPr>
            <w:r w:rsidRPr="000B087A">
              <w:t>General Enrollment: 85</w:t>
            </w:r>
            <w:r w:rsidR="00E83D26">
              <w:t xml:space="preserve"> percent</w:t>
            </w:r>
          </w:p>
          <w:p w:rsidR="00963DFF" w:rsidRDefault="00E83D26" w:rsidP="00BD5AD2">
            <w:pPr>
              <w:pStyle w:val="ListParagraph"/>
              <w:numPr>
                <w:ilvl w:val="0"/>
                <w:numId w:val="14"/>
              </w:numPr>
              <w:ind w:left="361" w:hanging="270"/>
            </w:pPr>
            <w:r>
              <w:t>Continuous Enrollment: 90 percent</w:t>
            </w:r>
          </w:p>
        </w:tc>
      </w:tr>
      <w:tr w:rsidR="00F850D0" w:rsidTr="00BD5AD2">
        <w:tc>
          <w:tcPr>
            <w:tcW w:w="2400" w:type="dxa"/>
            <w:tcBorders>
              <w:right w:val="single" w:sz="12" w:space="0" w:color="auto"/>
            </w:tcBorders>
            <w:shd w:val="clear" w:color="auto" w:fill="F2F2F2" w:themeFill="background1" w:themeFillShade="F2"/>
            <w:vAlign w:val="center"/>
            <w:hideMark/>
          </w:tcPr>
          <w:p w:rsidR="00F850D0" w:rsidRDefault="00F850D0" w:rsidP="00F850D0">
            <w:pPr>
              <w:jc w:val="center"/>
            </w:pPr>
            <w:r w:rsidRPr="00F6753E">
              <w:t>Cost-Share Payments</w:t>
            </w:r>
          </w:p>
        </w:tc>
        <w:tc>
          <w:tcPr>
            <w:tcW w:w="6955" w:type="dxa"/>
            <w:tcBorders>
              <w:top w:val="single" w:sz="4" w:space="0" w:color="auto"/>
              <w:left w:val="single" w:sz="12" w:space="0" w:color="auto"/>
              <w:bottom w:val="single" w:sz="4" w:space="0" w:color="auto"/>
            </w:tcBorders>
            <w:shd w:val="clear" w:color="auto" w:fill="F2F2F2" w:themeFill="background1" w:themeFillShade="F2"/>
            <w:vAlign w:val="center"/>
            <w:hideMark/>
          </w:tcPr>
          <w:p w:rsidR="00F850D0" w:rsidRPr="00F6753E" w:rsidRDefault="00E83D26" w:rsidP="00F850D0">
            <w:pPr>
              <w:pStyle w:val="ListParagraph"/>
              <w:numPr>
                <w:ilvl w:val="0"/>
                <w:numId w:val="13"/>
              </w:numPr>
              <w:ind w:left="361" w:hanging="270"/>
            </w:pPr>
            <w:r>
              <w:t>Pays 50 percent</w:t>
            </w:r>
            <w:r w:rsidR="00F850D0" w:rsidRPr="00F6753E">
              <w:t xml:space="preserve"> of the cost of establishing practices</w:t>
            </w:r>
          </w:p>
          <w:p w:rsidR="00F850D0" w:rsidRDefault="00E83D26" w:rsidP="00F850D0">
            <w:pPr>
              <w:pStyle w:val="ListParagraph"/>
              <w:numPr>
                <w:ilvl w:val="0"/>
                <w:numId w:val="13"/>
              </w:numPr>
              <w:ind w:left="361" w:hanging="270"/>
            </w:pPr>
            <w:r>
              <w:t>Limited to 50 percent</w:t>
            </w:r>
            <w:r w:rsidR="00F850D0" w:rsidRPr="00F6753E">
              <w:t xml:space="preserve"> of the actual</w:t>
            </w:r>
            <w:r w:rsidR="00F850D0" w:rsidRPr="00931DC5">
              <w:t xml:space="preserve"> cost of</w:t>
            </w:r>
            <w:r w:rsidR="00F850D0" w:rsidRPr="00F6753E">
              <w:t xml:space="preserve"> seed.</w:t>
            </w:r>
          </w:p>
        </w:tc>
      </w:tr>
      <w:tr w:rsidR="00F850D0" w:rsidTr="00BD5AD2">
        <w:tc>
          <w:tcPr>
            <w:tcW w:w="2400" w:type="dxa"/>
            <w:tcBorders>
              <w:right w:val="single" w:sz="12" w:space="0" w:color="auto"/>
            </w:tcBorders>
            <w:vAlign w:val="center"/>
            <w:hideMark/>
          </w:tcPr>
          <w:p w:rsidR="00F850D0" w:rsidRDefault="00F850D0" w:rsidP="00F850D0">
            <w:pPr>
              <w:jc w:val="center"/>
            </w:pPr>
            <w:r w:rsidRPr="00595760">
              <w:t>Practice Incentive Payments (PIP)</w:t>
            </w:r>
          </w:p>
        </w:tc>
        <w:tc>
          <w:tcPr>
            <w:tcW w:w="6955" w:type="dxa"/>
            <w:tcBorders>
              <w:top w:val="single" w:sz="4" w:space="0" w:color="auto"/>
              <w:left w:val="single" w:sz="12" w:space="0" w:color="auto"/>
              <w:bottom w:val="single" w:sz="4" w:space="0" w:color="auto"/>
            </w:tcBorders>
            <w:shd w:val="clear" w:color="auto" w:fill="auto"/>
            <w:vAlign w:val="center"/>
            <w:hideMark/>
          </w:tcPr>
          <w:p w:rsidR="00F850D0" w:rsidRDefault="00F850D0" w:rsidP="00F850D0">
            <w:r>
              <w:t>For new continuous enrollment, a</w:t>
            </w:r>
            <w:r w:rsidRPr="001135AF">
              <w:t>n incentive payment is required of no</w:t>
            </w:r>
            <w:r w:rsidRPr="00595760">
              <w:t xml:space="preserve"> more than </w:t>
            </w:r>
            <w:r w:rsidR="00E83D26">
              <w:t>50 percent</w:t>
            </w:r>
            <w:r w:rsidRPr="005F2202">
              <w:t xml:space="preserve"> of the actual cost of establishing all measures and practices, including seed costs related to the establishment of cover.</w:t>
            </w:r>
          </w:p>
        </w:tc>
      </w:tr>
      <w:tr w:rsidR="00F850D0" w:rsidTr="00BD5AD2">
        <w:tc>
          <w:tcPr>
            <w:tcW w:w="2400" w:type="dxa"/>
            <w:tcBorders>
              <w:right w:val="single" w:sz="12" w:space="0" w:color="auto"/>
            </w:tcBorders>
            <w:shd w:val="clear" w:color="auto" w:fill="F2F2F2" w:themeFill="background1" w:themeFillShade="F2"/>
            <w:vAlign w:val="center"/>
            <w:hideMark/>
          </w:tcPr>
          <w:p w:rsidR="00F850D0" w:rsidRDefault="00F850D0" w:rsidP="00F850D0">
            <w:pPr>
              <w:jc w:val="center"/>
            </w:pPr>
            <w:r w:rsidRPr="00D016CC">
              <w:t>Signing Incentive Payments (SIP)</w:t>
            </w:r>
          </w:p>
        </w:tc>
        <w:tc>
          <w:tcPr>
            <w:tcW w:w="6955" w:type="dxa"/>
            <w:tcBorders>
              <w:top w:val="single" w:sz="4" w:space="0" w:color="auto"/>
              <w:left w:val="single" w:sz="12" w:space="0" w:color="auto"/>
              <w:bottom w:val="single" w:sz="12" w:space="0" w:color="auto"/>
            </w:tcBorders>
            <w:shd w:val="clear" w:color="auto" w:fill="F2F2F2" w:themeFill="background1" w:themeFillShade="F2"/>
            <w:vAlign w:val="center"/>
            <w:hideMark/>
          </w:tcPr>
          <w:p w:rsidR="00F850D0" w:rsidRDefault="00F850D0" w:rsidP="00F850D0">
            <w:r>
              <w:t>For new continuous enrollment, an</w:t>
            </w:r>
            <w:r w:rsidRPr="001135AF">
              <w:t xml:space="preserve"> incentive payment is required at time of </w:t>
            </w:r>
            <w:r>
              <w:t>enrollment</w:t>
            </w:r>
            <w:r w:rsidRPr="001135AF">
              <w:t xml:space="preserve"> e</w:t>
            </w:r>
            <w:r w:rsidR="00E83D26">
              <w:t>qual to 32.5 percent</w:t>
            </w:r>
            <w:r w:rsidRPr="00D016CC">
              <w:t xml:space="preserve"> of the amount of the 1</w:t>
            </w:r>
            <w:r w:rsidRPr="001135AF">
              <w:rPr>
                <w:vertAlign w:val="superscript"/>
              </w:rPr>
              <w:t>st</w:t>
            </w:r>
            <w:r w:rsidRPr="001135AF">
              <w:t xml:space="preserve"> year annual rental payment</w:t>
            </w:r>
            <w:r>
              <w:t>.</w:t>
            </w:r>
          </w:p>
        </w:tc>
      </w:tr>
    </w:tbl>
    <w:p w:rsidR="00F850D0" w:rsidRDefault="00F850D0" w:rsidP="00F850D0">
      <w:pPr>
        <w:pStyle w:val="ListParagraph"/>
        <w:spacing w:after="0" w:line="256" w:lineRule="auto"/>
        <w:ind w:left="1440"/>
      </w:pPr>
      <w:r>
        <w:t>Note: CREP payments may vary.</w:t>
      </w:r>
    </w:p>
    <w:p w:rsidR="00BD5AD2" w:rsidRDefault="00BD5AD2" w:rsidP="00F850D0">
      <w:pPr>
        <w:pStyle w:val="ListParagraph"/>
        <w:spacing w:after="0" w:line="256" w:lineRule="auto"/>
        <w:ind w:left="1440"/>
      </w:pPr>
    </w:p>
    <w:p w:rsidR="00A374CC" w:rsidRDefault="004066CA" w:rsidP="00A374CC">
      <w:pPr>
        <w:pStyle w:val="ListParagraph"/>
        <w:numPr>
          <w:ilvl w:val="1"/>
          <w:numId w:val="12"/>
        </w:numPr>
        <w:spacing w:after="0" w:line="256" w:lineRule="auto"/>
      </w:pPr>
      <w:r>
        <w:t xml:space="preserve">Other </w:t>
      </w:r>
      <w:r w:rsidR="00A374CC">
        <w:t xml:space="preserve">additions to CRP include expanded opportunities for haying, grazing, and other management tools, cost-share for fencing and other water distribution practices, and </w:t>
      </w:r>
      <w:r>
        <w:t xml:space="preserve">the opportunity for </w:t>
      </w:r>
      <w:r w:rsidR="00A374CC">
        <w:t>land that was under a 15-year C</w:t>
      </w:r>
      <w:r>
        <w:t>RP contract that expired in 2017</w:t>
      </w:r>
      <w:r w:rsidR="00A374CC">
        <w:t xml:space="preserve"> or 2018 to reenroll. </w:t>
      </w:r>
    </w:p>
    <w:p w:rsidR="00A374CC" w:rsidRPr="00095BF3" w:rsidRDefault="00A374CC" w:rsidP="00A374CC">
      <w:pPr>
        <w:pStyle w:val="ListParagraph"/>
        <w:numPr>
          <w:ilvl w:val="0"/>
          <w:numId w:val="12"/>
        </w:numPr>
        <w:spacing w:after="0" w:line="256" w:lineRule="auto"/>
        <w:rPr>
          <w:b/>
        </w:rPr>
      </w:pPr>
      <w:r w:rsidRPr="00095BF3">
        <w:rPr>
          <w:b/>
        </w:rPr>
        <w:t>Pilot Programs</w:t>
      </w:r>
    </w:p>
    <w:p w:rsidR="00F850D0" w:rsidRPr="00095BF3" w:rsidRDefault="00F850D0" w:rsidP="00F850D0">
      <w:pPr>
        <w:pStyle w:val="ListParagraph"/>
        <w:numPr>
          <w:ilvl w:val="1"/>
          <w:numId w:val="12"/>
        </w:numPr>
        <w:spacing w:after="0"/>
        <w:rPr>
          <w:b/>
        </w:rPr>
      </w:pPr>
      <w:r w:rsidRPr="00095BF3">
        <w:rPr>
          <w:b/>
        </w:rPr>
        <w:t>CLEAR 30</w:t>
      </w:r>
    </w:p>
    <w:p w:rsidR="00F850D0" w:rsidRDefault="00F850D0" w:rsidP="00F850D0">
      <w:pPr>
        <w:pStyle w:val="ListParagraph"/>
        <w:numPr>
          <w:ilvl w:val="2"/>
          <w:numId w:val="12"/>
        </w:numPr>
        <w:spacing w:after="0"/>
      </w:pPr>
      <w:r>
        <w:t>CRP participants with contracts that expire on or after Dec. 20, 2018</w:t>
      </w:r>
      <w:r w:rsidR="003F2C1B">
        <w:t>,</w:t>
      </w:r>
      <w:r>
        <w:t xml:space="preserve"> may choose to enroll their land in CLEAR 30.  This program prioritizes practices that help benefit water resources, such as grass sod waterways, contour grass sod strips, prairie strips, </w:t>
      </w:r>
      <w:r w:rsidR="00F948AE">
        <w:t>filter strips</w:t>
      </w:r>
      <w:r>
        <w:t>, riparian buffers, wetland or wetland buffers, saturated buffers, or other similar water quality practices.  Contracts und</w:t>
      </w:r>
      <w:r w:rsidR="007445DF">
        <w:t xml:space="preserve">er CLEAR 30 are enrolled for 30 </w:t>
      </w:r>
      <w:r>
        <w:t>years.</w:t>
      </w:r>
    </w:p>
    <w:p w:rsidR="00F850D0" w:rsidRDefault="00F850D0" w:rsidP="00F850D0">
      <w:pPr>
        <w:pStyle w:val="ListParagraph"/>
        <w:numPr>
          <w:ilvl w:val="2"/>
          <w:numId w:val="12"/>
        </w:numPr>
        <w:spacing w:after="0"/>
      </w:pPr>
      <w:r>
        <w:t>Participants will receive 30 annual payments equal to what they would have received under continuous CRP.</w:t>
      </w:r>
    </w:p>
    <w:p w:rsidR="00F850D0" w:rsidRPr="00095BF3" w:rsidRDefault="00F850D0" w:rsidP="00F850D0">
      <w:pPr>
        <w:pStyle w:val="ListParagraph"/>
        <w:numPr>
          <w:ilvl w:val="1"/>
          <w:numId w:val="12"/>
        </w:numPr>
        <w:spacing w:after="0"/>
        <w:rPr>
          <w:b/>
        </w:rPr>
      </w:pPr>
      <w:r w:rsidRPr="00095BF3">
        <w:rPr>
          <w:b/>
        </w:rPr>
        <w:t>SHIPP</w:t>
      </w:r>
    </w:p>
    <w:p w:rsidR="00095BF3" w:rsidRDefault="00F850D0" w:rsidP="00F850D0">
      <w:pPr>
        <w:pStyle w:val="ListParagraph"/>
        <w:numPr>
          <w:ilvl w:val="2"/>
          <w:numId w:val="12"/>
        </w:numPr>
        <w:spacing w:after="0"/>
      </w:pPr>
      <w:r>
        <w:t>Eligible land must</w:t>
      </w:r>
      <w:r w:rsidR="00095BF3">
        <w:t xml:space="preserve"> </w:t>
      </w:r>
      <w:proofErr w:type="gramStart"/>
      <w:r w:rsidR="00095BF3">
        <w:t>be located in</w:t>
      </w:r>
      <w:proofErr w:type="gramEnd"/>
      <w:r w:rsidR="00095BF3">
        <w:t xml:space="preserve"> the prairie pothole region and</w:t>
      </w:r>
      <w:r>
        <w:t xml:space="preserve"> have a cropping history, have been planted in the three previous years before enrollment</w:t>
      </w:r>
      <w:r w:rsidR="00A92794">
        <w:t>,</w:t>
      </w:r>
      <w:r>
        <w:t xml:space="preserve"> and be less-productiv</w:t>
      </w:r>
      <w:r w:rsidR="00E83D26">
        <w:t xml:space="preserve">e than other land on the farm. </w:t>
      </w:r>
      <w:r>
        <w:t xml:space="preserve">Land that was in </w:t>
      </w:r>
    </w:p>
    <w:p w:rsidR="00095BF3" w:rsidRDefault="00095BF3" w:rsidP="00095BF3">
      <w:pPr>
        <w:pStyle w:val="ListParagraph"/>
        <w:spacing w:after="0"/>
        <w:ind w:left="2160"/>
      </w:pPr>
    </w:p>
    <w:p w:rsidR="00095BF3" w:rsidRDefault="00095BF3" w:rsidP="00095BF3">
      <w:pPr>
        <w:pStyle w:val="ListParagraph"/>
        <w:spacing w:after="0"/>
        <w:ind w:left="2160"/>
      </w:pPr>
    </w:p>
    <w:p w:rsidR="00A92794" w:rsidRDefault="00F850D0" w:rsidP="00F850D0">
      <w:pPr>
        <w:pStyle w:val="ListParagraph"/>
        <w:numPr>
          <w:ilvl w:val="2"/>
          <w:numId w:val="12"/>
        </w:numPr>
        <w:spacing w:after="0"/>
      </w:pPr>
      <w:r>
        <w:t>CRP during these three p</w:t>
      </w:r>
      <w:r w:rsidR="00E83D26">
        <w:t xml:space="preserve">revious years is not eligible. </w:t>
      </w:r>
      <w:r>
        <w:t>Subject to certain conditions, harvesting for seed, haying, and grazing outside the primary nesting season is allowed.</w:t>
      </w:r>
      <w:r w:rsidR="00A92794" w:rsidRPr="00A92794">
        <w:t xml:space="preserve"> </w:t>
      </w:r>
    </w:p>
    <w:p w:rsidR="00F850D0" w:rsidRDefault="00A92794" w:rsidP="00F850D0">
      <w:pPr>
        <w:pStyle w:val="ListParagraph"/>
        <w:numPr>
          <w:ilvl w:val="2"/>
          <w:numId w:val="12"/>
        </w:numPr>
        <w:spacing w:after="0"/>
      </w:pPr>
      <w:r>
        <w:t>No more than 15 percent of eligible land per farm may enroll.</w:t>
      </w:r>
    </w:p>
    <w:p w:rsidR="00F850D0" w:rsidRDefault="00F850D0" w:rsidP="00F850D0">
      <w:pPr>
        <w:pStyle w:val="ListParagraph"/>
        <w:numPr>
          <w:ilvl w:val="2"/>
          <w:numId w:val="12"/>
        </w:numPr>
        <w:spacing w:after="0"/>
      </w:pPr>
      <w:r>
        <w:t>Contracts are from 3-5 years.</w:t>
      </w:r>
    </w:p>
    <w:p w:rsidR="00F850D0" w:rsidRDefault="00F850D0" w:rsidP="00F850D0">
      <w:pPr>
        <w:pStyle w:val="ListParagraph"/>
        <w:numPr>
          <w:ilvl w:val="2"/>
          <w:numId w:val="12"/>
        </w:numPr>
        <w:spacing w:after="0"/>
      </w:pPr>
      <w:r>
        <w:t>Annual rental payments:</w:t>
      </w:r>
    </w:p>
    <w:p w:rsidR="00F850D0" w:rsidRDefault="00F850D0" w:rsidP="00F850D0">
      <w:pPr>
        <w:pStyle w:val="ListParagraph"/>
        <w:numPr>
          <w:ilvl w:val="3"/>
          <w:numId w:val="12"/>
        </w:numPr>
        <w:spacing w:after="0"/>
      </w:pPr>
      <w:r>
        <w:t>50 percent of the average county rental rate for the applicable county, and</w:t>
      </w:r>
    </w:p>
    <w:p w:rsidR="00F850D0" w:rsidRDefault="00F850D0" w:rsidP="00F850D0">
      <w:pPr>
        <w:pStyle w:val="ListParagraph"/>
        <w:numPr>
          <w:ilvl w:val="3"/>
          <w:numId w:val="12"/>
        </w:numPr>
        <w:spacing w:after="0"/>
      </w:pPr>
      <w:r>
        <w:t>75 percent of the average county rental rate for the applicable county for beginning, limited resource, socially disadvantaged, or veteran farmers.</w:t>
      </w:r>
    </w:p>
    <w:p w:rsidR="00F850D0" w:rsidRDefault="00F850D0" w:rsidP="00F850D0">
      <w:pPr>
        <w:pStyle w:val="ListParagraph"/>
        <w:numPr>
          <w:ilvl w:val="2"/>
          <w:numId w:val="12"/>
        </w:numPr>
        <w:spacing w:after="0"/>
      </w:pPr>
      <w:r>
        <w:t>There is no cost-share for practice establishment except for beginning, limited resource, socially disadvantaged, or veteran farmers.</w:t>
      </w:r>
    </w:p>
    <w:p w:rsidR="00F850D0" w:rsidRDefault="00F850D0" w:rsidP="00F850D0">
      <w:pPr>
        <w:pStyle w:val="ListParagraph"/>
        <w:numPr>
          <w:ilvl w:val="2"/>
          <w:numId w:val="12"/>
        </w:numPr>
        <w:spacing w:after="0"/>
      </w:pPr>
      <w:r>
        <w:t>Enrollment ends on Dec. 31, 2020.</w:t>
      </w:r>
    </w:p>
    <w:p w:rsidR="00A374CC" w:rsidRDefault="00A374CC" w:rsidP="00A374CC">
      <w:pPr>
        <w:pStyle w:val="ListParagraph"/>
        <w:spacing w:after="0"/>
        <w:ind w:left="2160"/>
      </w:pPr>
    </w:p>
    <w:p w:rsidR="00A374CC" w:rsidRPr="00095BF3" w:rsidRDefault="00A374CC" w:rsidP="00A374CC">
      <w:pPr>
        <w:spacing w:after="0"/>
        <w:rPr>
          <w:b/>
        </w:rPr>
      </w:pPr>
      <w:r w:rsidRPr="00095BF3">
        <w:rPr>
          <w:b/>
        </w:rPr>
        <w:t>Emergency Conservation Program (ECP)</w:t>
      </w:r>
    </w:p>
    <w:p w:rsidR="00A374CC" w:rsidRDefault="00F850D0" w:rsidP="00B16581">
      <w:pPr>
        <w:pStyle w:val="ListParagraph"/>
        <w:numPr>
          <w:ilvl w:val="0"/>
          <w:numId w:val="20"/>
        </w:numPr>
        <w:spacing w:after="0"/>
      </w:pPr>
      <w:r>
        <w:t>ECP provides emergency cost-share assistance to farmers and ranchers to help rehabilitate farmland and ranchland</w:t>
      </w:r>
      <w:r w:rsidR="00E83D26">
        <w:t xml:space="preserve"> damaged by natural disasters. </w:t>
      </w:r>
      <w:r>
        <w:t xml:space="preserve">In general, producers receive up to 75 percent cost-share for installing practices to restore land to a condition </w:t>
      </w:r>
      <w:proofErr w:type="gramStart"/>
      <w:r>
        <w:t>similar to</w:t>
      </w:r>
      <w:proofErr w:type="gramEnd"/>
      <w:r>
        <w:t xml:space="preserve"> that existing prior to the natural disaster.  Limited resource producers have historically been allowed to receive up to 90 percent cost-share, and the 2018 Farm Bill expands that opportunity to socially disadvantaged and beginning farmers and ranchers.</w:t>
      </w:r>
    </w:p>
    <w:p w:rsidR="00F850D0" w:rsidRDefault="00F850D0" w:rsidP="00F850D0">
      <w:pPr>
        <w:pStyle w:val="ListParagraph"/>
        <w:numPr>
          <w:ilvl w:val="0"/>
          <w:numId w:val="20"/>
        </w:numPr>
        <w:spacing w:after="0"/>
      </w:pPr>
      <w:r>
        <w:t>A 25 percent advance payment will be allowed for repair or replacement of fencing.</w:t>
      </w:r>
    </w:p>
    <w:p w:rsidR="00F850D0" w:rsidRDefault="00F850D0" w:rsidP="00F850D0">
      <w:pPr>
        <w:pStyle w:val="ListParagraph"/>
        <w:numPr>
          <w:ilvl w:val="0"/>
          <w:numId w:val="20"/>
        </w:numPr>
        <w:spacing w:after="0"/>
      </w:pPr>
      <w:r>
        <w:t xml:space="preserve">Previously, participants were limited to a $200,000 payment limit for ECP.  The 2018 Farm Bill increases the </w:t>
      </w:r>
      <w:r w:rsidR="00F8206E">
        <w:t xml:space="preserve">ECP </w:t>
      </w:r>
      <w:r>
        <w:t>payment limitation to $500,000</w:t>
      </w:r>
      <w:r w:rsidR="00F8206E">
        <w:t xml:space="preserve"> per disaster</w:t>
      </w:r>
      <w:r>
        <w:t xml:space="preserve">. </w:t>
      </w:r>
    </w:p>
    <w:p w:rsidR="00F850D0" w:rsidRDefault="00F850D0" w:rsidP="00F850D0">
      <w:pPr>
        <w:pStyle w:val="ListParagraph"/>
        <w:spacing w:after="0"/>
      </w:pPr>
    </w:p>
    <w:p w:rsidR="00A374CC" w:rsidRPr="00095BF3" w:rsidRDefault="00A374CC" w:rsidP="00A374CC">
      <w:pPr>
        <w:spacing w:after="0"/>
        <w:rPr>
          <w:b/>
        </w:rPr>
      </w:pPr>
      <w:r w:rsidRPr="00095BF3">
        <w:rPr>
          <w:b/>
        </w:rPr>
        <w:t>Biomass Crop Assistance Program (BCAP)</w:t>
      </w:r>
    </w:p>
    <w:p w:rsidR="00A374CC" w:rsidRDefault="00A374CC" w:rsidP="00A374CC">
      <w:pPr>
        <w:pStyle w:val="ListParagraph"/>
        <w:numPr>
          <w:ilvl w:val="0"/>
          <w:numId w:val="16"/>
        </w:numPr>
        <w:spacing w:after="0" w:line="256" w:lineRule="auto"/>
      </w:pPr>
      <w:r>
        <w:t>BCAP provides incentives to farmers, ranchers</w:t>
      </w:r>
      <w:r w:rsidR="00A92794">
        <w:t>,</w:t>
      </w:r>
      <w:r>
        <w:t xml:space="preserve"> and forest landowners to establish, cultivate</w:t>
      </w:r>
      <w:r w:rsidR="00A92794">
        <w:t>,</w:t>
      </w:r>
      <w:r>
        <w:t xml:space="preserve"> and harvest eligible biomass for heat, power, bio-based products, research</w:t>
      </w:r>
      <w:r w:rsidR="00A92794">
        <w:t>,</w:t>
      </w:r>
      <w:r w:rsidR="00E83D26">
        <w:t xml:space="preserve"> and advanced biofuels. </w:t>
      </w:r>
      <w:r>
        <w:t>The 2018 Farm Bill eliminate</w:t>
      </w:r>
      <w:r w:rsidR="00A92794">
        <w:t>s</w:t>
      </w:r>
      <w:r>
        <w:t xml:space="preserve"> the mandatory funding provision and add</w:t>
      </w:r>
      <w:r w:rsidR="00A92794">
        <w:t>s</w:t>
      </w:r>
      <w:r>
        <w:t xml:space="preserve"> algae as an eligible biomass material.</w:t>
      </w:r>
    </w:p>
    <w:p w:rsidR="00A374CC" w:rsidRDefault="00A374CC" w:rsidP="00555019">
      <w:pPr>
        <w:spacing w:after="0"/>
      </w:pPr>
    </w:p>
    <w:p w:rsidR="00A374CC" w:rsidRPr="00095BF3" w:rsidRDefault="00A374CC" w:rsidP="00A374CC">
      <w:pPr>
        <w:spacing w:after="0"/>
        <w:rPr>
          <w:b/>
        </w:rPr>
      </w:pPr>
      <w:r w:rsidRPr="00095BF3">
        <w:rPr>
          <w:b/>
        </w:rPr>
        <w:t>N</w:t>
      </w:r>
      <w:r w:rsidR="00C77EC3" w:rsidRPr="00095BF3">
        <w:rPr>
          <w:b/>
        </w:rPr>
        <w:t>oninsured Crop Disaster Program (N</w:t>
      </w:r>
      <w:r w:rsidRPr="00095BF3">
        <w:rPr>
          <w:b/>
        </w:rPr>
        <w:t>AP</w:t>
      </w:r>
      <w:r w:rsidR="00C77EC3" w:rsidRPr="00095BF3">
        <w:rPr>
          <w:b/>
        </w:rPr>
        <w:t>)</w:t>
      </w:r>
    </w:p>
    <w:p w:rsidR="00A374CC" w:rsidRDefault="00A374CC" w:rsidP="00A374CC">
      <w:pPr>
        <w:pStyle w:val="ListParagraph"/>
        <w:numPr>
          <w:ilvl w:val="0"/>
          <w:numId w:val="16"/>
        </w:numPr>
        <w:spacing w:after="0" w:line="256" w:lineRule="auto"/>
      </w:pPr>
      <w:r>
        <w:t>NAP provides financial assistance to producers of crops that are not eligible for crop insurance to protect against lower yields</w:t>
      </w:r>
      <w:r w:rsidR="00095BF3">
        <w:t xml:space="preserve"> </w:t>
      </w:r>
      <w:r w:rsidR="004066CA">
        <w:t xml:space="preserve">or </w:t>
      </w:r>
      <w:r w:rsidR="00AE657F">
        <w:t>crops unable to be planted due to</w:t>
      </w:r>
      <w:r w:rsidR="004066CA">
        <w:t xml:space="preserve"> natural disasters.</w:t>
      </w:r>
    </w:p>
    <w:p w:rsidR="00095E7B" w:rsidRDefault="00DE19D8" w:rsidP="00DE19D8">
      <w:pPr>
        <w:pStyle w:val="ListParagraph"/>
        <w:numPr>
          <w:ilvl w:val="0"/>
          <w:numId w:val="16"/>
        </w:numPr>
      </w:pPr>
      <w:r w:rsidRPr="00DE19D8">
        <w:t>NAP provides basic coverage equivalent to the catastrophic level risk protection plan of insurance coverage</w:t>
      </w:r>
      <w:r w:rsidR="00095E7B">
        <w:t>.</w:t>
      </w:r>
      <w:r w:rsidRPr="00DE19D8">
        <w:t xml:space="preserve"> </w:t>
      </w:r>
      <w:r w:rsidR="00095E7B">
        <w:t xml:space="preserve"> This </w:t>
      </w:r>
      <w:r w:rsidRPr="00DE19D8">
        <w:t xml:space="preserve">is based on the amount of </w:t>
      </w:r>
      <w:r w:rsidRPr="00D64CAF">
        <w:t>prevented planting in excess of 35 percent</w:t>
      </w:r>
      <w:r w:rsidRPr="00DE19D8">
        <w:t xml:space="preserve"> of intended </w:t>
      </w:r>
      <w:r w:rsidR="00A92794">
        <w:t xml:space="preserve">acreage </w:t>
      </w:r>
      <w:r w:rsidRPr="00DE19D8">
        <w:t>at 55 percent of the average market price</w:t>
      </w:r>
      <w:r w:rsidR="00095E7B">
        <w:t>,</w:t>
      </w:r>
      <w:r w:rsidRPr="00DE19D8">
        <w:t xml:space="preserve"> or loss of yield or value in excess of 50 percent of expected production or value at 55 percent of the average market price (or other determined prices) for the crop.  </w:t>
      </w:r>
    </w:p>
    <w:p w:rsidR="00DE19D8" w:rsidRPr="00DE19D8" w:rsidRDefault="00DE19D8" w:rsidP="00DE19D8">
      <w:pPr>
        <w:pStyle w:val="ListParagraph"/>
        <w:numPr>
          <w:ilvl w:val="0"/>
          <w:numId w:val="16"/>
        </w:numPr>
      </w:pPr>
      <w:r w:rsidRPr="00DE19D8">
        <w:t xml:space="preserve">NAP also offers higher levels of coverage (buy-up) ranging from 50 to 65 percent of production, in </w:t>
      </w:r>
      <w:r w:rsidR="00E83D26">
        <w:t>five</w:t>
      </w:r>
      <w:r w:rsidRPr="00DE19D8">
        <w:t xml:space="preserve"> percent increments, or the same prevented planted coverage level of more than 35 percent of intended acreage at 100 percent of the average market price.  Buy-up coverage is now permanently authorized under the program and does not expire in 2023.</w:t>
      </w:r>
    </w:p>
    <w:p w:rsidR="00A374CC" w:rsidRDefault="00A374CC" w:rsidP="00A374CC">
      <w:pPr>
        <w:pStyle w:val="ListParagraph"/>
        <w:numPr>
          <w:ilvl w:val="0"/>
          <w:numId w:val="16"/>
        </w:numPr>
        <w:spacing w:after="0" w:line="256" w:lineRule="auto"/>
      </w:pPr>
      <w:r>
        <w:t xml:space="preserve">Coverage, payment limitations, and service fees </w:t>
      </w:r>
      <w:r w:rsidR="004066CA">
        <w:t xml:space="preserve">for NAP </w:t>
      </w:r>
      <w:r>
        <w:t>have all changed with the 2018 Farm Bill.</w:t>
      </w:r>
    </w:p>
    <w:p w:rsidR="00A374CC" w:rsidRDefault="00A374CC" w:rsidP="00A374CC">
      <w:pPr>
        <w:pStyle w:val="ListParagraph"/>
        <w:numPr>
          <w:ilvl w:val="1"/>
          <w:numId w:val="16"/>
        </w:numPr>
        <w:spacing w:after="0" w:line="256" w:lineRule="auto"/>
      </w:pPr>
      <w:r>
        <w:t>Producers who elect higher levels of coverage must also pay a premium equal to:</w:t>
      </w:r>
    </w:p>
    <w:p w:rsidR="00DE19D8" w:rsidRDefault="00A374CC" w:rsidP="00A374CC">
      <w:pPr>
        <w:pStyle w:val="ListParagraph"/>
        <w:numPr>
          <w:ilvl w:val="2"/>
          <w:numId w:val="16"/>
        </w:numPr>
        <w:spacing w:after="0" w:line="256" w:lineRule="auto"/>
      </w:pPr>
      <w:r>
        <w:t>The producer’s share of the crop</w:t>
      </w:r>
      <w:r w:rsidR="00DE19D8">
        <w:t>, times</w:t>
      </w:r>
    </w:p>
    <w:p w:rsidR="00DE19D8" w:rsidRDefault="00DE19D8" w:rsidP="00A374CC">
      <w:pPr>
        <w:pStyle w:val="ListParagraph"/>
        <w:numPr>
          <w:ilvl w:val="2"/>
          <w:numId w:val="16"/>
        </w:numPr>
        <w:spacing w:after="0" w:line="256" w:lineRule="auto"/>
      </w:pPr>
      <w:r>
        <w:t>T</w:t>
      </w:r>
      <w:r w:rsidR="00A374CC">
        <w:t>he number of eligible acres devoted to the crop</w:t>
      </w:r>
      <w:r>
        <w:t>, times</w:t>
      </w:r>
    </w:p>
    <w:p w:rsidR="00DE19D8" w:rsidRDefault="00A374CC" w:rsidP="00A374CC">
      <w:pPr>
        <w:pStyle w:val="ListParagraph"/>
        <w:numPr>
          <w:ilvl w:val="2"/>
          <w:numId w:val="16"/>
        </w:numPr>
        <w:spacing w:after="0" w:line="256" w:lineRule="auto"/>
      </w:pPr>
      <w:r>
        <w:t>The approved yield per acre</w:t>
      </w:r>
      <w:r w:rsidR="00DE19D8">
        <w:t>, times</w:t>
      </w:r>
    </w:p>
    <w:p w:rsidR="00DE19D8" w:rsidRDefault="00A374CC" w:rsidP="00A374CC">
      <w:pPr>
        <w:pStyle w:val="ListParagraph"/>
        <w:numPr>
          <w:ilvl w:val="2"/>
          <w:numId w:val="16"/>
        </w:numPr>
        <w:spacing w:after="0" w:line="256" w:lineRule="auto"/>
      </w:pPr>
      <w:r>
        <w:t>The coverage level</w:t>
      </w:r>
      <w:r w:rsidR="00DE19D8">
        <w:t>, times</w:t>
      </w:r>
    </w:p>
    <w:p w:rsidR="00DE19D8" w:rsidRDefault="00A374CC" w:rsidP="00A374CC">
      <w:pPr>
        <w:pStyle w:val="ListParagraph"/>
        <w:numPr>
          <w:ilvl w:val="2"/>
          <w:numId w:val="16"/>
        </w:numPr>
        <w:spacing w:after="0" w:line="256" w:lineRule="auto"/>
      </w:pPr>
      <w:r>
        <w:t>The average market price</w:t>
      </w:r>
      <w:r w:rsidR="00DE19D8">
        <w:t>, times</w:t>
      </w:r>
    </w:p>
    <w:p w:rsidR="00A92794" w:rsidRDefault="00A92794" w:rsidP="00A92794">
      <w:pPr>
        <w:pStyle w:val="ListParagraph"/>
        <w:numPr>
          <w:ilvl w:val="3"/>
          <w:numId w:val="16"/>
        </w:numPr>
        <w:spacing w:after="0" w:line="256" w:lineRule="auto"/>
      </w:pPr>
      <w:r>
        <w:t>Note: Producers may now elect to use the contract price or other prices such as local, organic, or direct market price instead of the average market price.</w:t>
      </w:r>
    </w:p>
    <w:p w:rsidR="00A374CC" w:rsidRDefault="00DE19D8" w:rsidP="00A374CC">
      <w:pPr>
        <w:pStyle w:val="ListParagraph"/>
        <w:numPr>
          <w:ilvl w:val="2"/>
          <w:numId w:val="16"/>
        </w:numPr>
        <w:spacing w:after="0" w:line="256" w:lineRule="auto"/>
      </w:pPr>
      <w:r>
        <w:t>A</w:t>
      </w:r>
      <w:r w:rsidR="00A374CC">
        <w:t xml:space="preserve"> 5.25 percent premium fee.</w:t>
      </w:r>
    </w:p>
    <w:p w:rsidR="00555019" w:rsidRDefault="00555019" w:rsidP="00555019">
      <w:pPr>
        <w:pStyle w:val="ListParagraph"/>
        <w:spacing w:after="0" w:line="256" w:lineRule="auto"/>
        <w:ind w:left="2160"/>
      </w:pPr>
    </w:p>
    <w:p w:rsidR="00A374CC" w:rsidRDefault="00DE19D8" w:rsidP="00A374CC">
      <w:pPr>
        <w:pStyle w:val="ListParagraph"/>
        <w:numPr>
          <w:ilvl w:val="1"/>
          <w:numId w:val="16"/>
        </w:numPr>
        <w:spacing w:after="0" w:line="256" w:lineRule="auto"/>
      </w:pPr>
      <w:r>
        <w:t>The payment limitation per producer and legal entity has</w:t>
      </w:r>
      <w:r w:rsidR="00A374CC">
        <w:t xml:space="preserve"> increased to $300,000 for buy-up coverage</w:t>
      </w:r>
      <w:r w:rsidR="00FF76DD">
        <w:t>; it remains at $125,000 for basic coverage.</w:t>
      </w:r>
    </w:p>
    <w:p w:rsidR="00A374CC" w:rsidRDefault="00115DA1" w:rsidP="00DE19D8">
      <w:pPr>
        <w:pStyle w:val="ListParagraph"/>
        <w:numPr>
          <w:ilvl w:val="1"/>
          <w:numId w:val="16"/>
        </w:numPr>
        <w:spacing w:after="0" w:line="256" w:lineRule="auto"/>
      </w:pPr>
      <w:r>
        <w:t>Service</w:t>
      </w:r>
      <w:r w:rsidR="00DE19D8">
        <w:t xml:space="preserve"> f</w:t>
      </w:r>
      <w:r w:rsidR="00A374CC">
        <w:t xml:space="preserve">ees have increased to $325 per crop per county, </w:t>
      </w:r>
      <w:r>
        <w:t xml:space="preserve">and to </w:t>
      </w:r>
      <w:r w:rsidR="00A374CC">
        <w:t>$825 per producer per county, not to exceed $1,950 per producer.</w:t>
      </w:r>
    </w:p>
    <w:p w:rsidR="00A374CC" w:rsidRDefault="00A374CC" w:rsidP="00A374CC">
      <w:pPr>
        <w:pStyle w:val="ListParagraph"/>
        <w:spacing w:after="0"/>
      </w:pPr>
    </w:p>
    <w:p w:rsidR="00A374CC" w:rsidRPr="00095BF3" w:rsidRDefault="00A374CC" w:rsidP="00A374CC">
      <w:pPr>
        <w:spacing w:after="0"/>
        <w:rPr>
          <w:b/>
        </w:rPr>
      </w:pPr>
      <w:r w:rsidRPr="00095BF3">
        <w:rPr>
          <w:b/>
        </w:rPr>
        <w:t>Disaster Programs</w:t>
      </w:r>
    </w:p>
    <w:p w:rsidR="00A374CC" w:rsidRPr="00095BF3" w:rsidRDefault="00A374CC" w:rsidP="00A374CC">
      <w:pPr>
        <w:pStyle w:val="ListParagraph"/>
        <w:numPr>
          <w:ilvl w:val="0"/>
          <w:numId w:val="17"/>
        </w:numPr>
        <w:spacing w:after="0" w:line="256" w:lineRule="auto"/>
        <w:rPr>
          <w:b/>
        </w:rPr>
      </w:pPr>
      <w:r w:rsidRPr="00095BF3">
        <w:rPr>
          <w:b/>
        </w:rPr>
        <w:t>E</w:t>
      </w:r>
      <w:r w:rsidR="00C77EC3" w:rsidRPr="00095BF3">
        <w:rPr>
          <w:b/>
        </w:rPr>
        <w:t>mergency Assistance for Livestock, Honey Bees, and Farm-raised Fish (E</w:t>
      </w:r>
      <w:r w:rsidRPr="00095BF3">
        <w:rPr>
          <w:b/>
        </w:rPr>
        <w:t>LAP</w:t>
      </w:r>
      <w:r w:rsidR="00C77EC3" w:rsidRPr="00095BF3">
        <w:rPr>
          <w:b/>
        </w:rPr>
        <w:t>)</w:t>
      </w:r>
    </w:p>
    <w:p w:rsidR="00A374CC" w:rsidRDefault="00A374CC" w:rsidP="00AE657F">
      <w:pPr>
        <w:pStyle w:val="ListParagraph"/>
        <w:numPr>
          <w:ilvl w:val="1"/>
          <w:numId w:val="17"/>
        </w:numPr>
        <w:spacing w:after="0" w:line="256" w:lineRule="auto"/>
      </w:pPr>
      <w:r>
        <w:t>ELAP provides emergency assistance to eligible producers of livestock, honeybees</w:t>
      </w:r>
      <w:r w:rsidR="000314CC">
        <w:t>,</w:t>
      </w:r>
      <w:r>
        <w:t xml:space="preserve"> and farm-raised fish for losses due to disease (including cattle tick fever), adverse weather, or other conditions, s</w:t>
      </w:r>
      <w:r w:rsidR="00CD309E">
        <w:t xml:space="preserve">uch as blizzards and wildfires that are </w:t>
      </w:r>
      <w:r w:rsidR="00E83D26">
        <w:t xml:space="preserve">not covered by LFP and LIP. </w:t>
      </w:r>
      <w:r w:rsidR="00AE657F" w:rsidRPr="00AE657F">
        <w:t>In addition to covering the cost related to gathering livestock to treat for cattle tick fever, ELAP will now cover the cost related to gathering livestock to inspect for cattle tick fever.</w:t>
      </w:r>
    </w:p>
    <w:p w:rsidR="00A374CC" w:rsidRPr="00095BF3" w:rsidRDefault="00A374CC" w:rsidP="00A374CC">
      <w:pPr>
        <w:pStyle w:val="ListParagraph"/>
        <w:numPr>
          <w:ilvl w:val="0"/>
          <w:numId w:val="17"/>
        </w:numPr>
        <w:spacing w:after="0" w:line="256" w:lineRule="auto"/>
        <w:rPr>
          <w:b/>
        </w:rPr>
      </w:pPr>
      <w:r w:rsidRPr="00095BF3">
        <w:rPr>
          <w:b/>
        </w:rPr>
        <w:t>L</w:t>
      </w:r>
      <w:r w:rsidR="00C77EC3" w:rsidRPr="00095BF3">
        <w:rPr>
          <w:b/>
        </w:rPr>
        <w:t>ivestock Indemnity Program (L</w:t>
      </w:r>
      <w:r w:rsidRPr="00095BF3">
        <w:rPr>
          <w:b/>
        </w:rPr>
        <w:t>IP</w:t>
      </w:r>
      <w:r w:rsidR="00C77EC3" w:rsidRPr="00095BF3">
        <w:rPr>
          <w:b/>
        </w:rPr>
        <w:t>)</w:t>
      </w:r>
    </w:p>
    <w:p w:rsidR="00A374CC" w:rsidRDefault="00A374CC" w:rsidP="00A374CC">
      <w:pPr>
        <w:pStyle w:val="ListParagraph"/>
        <w:numPr>
          <w:ilvl w:val="1"/>
          <w:numId w:val="17"/>
        </w:numPr>
        <w:spacing w:after="0" w:line="256" w:lineRule="auto"/>
      </w:pPr>
      <w:r>
        <w:t xml:space="preserve">LIP provides benefits to livestock producers for livestock deaths or injuries </w:t>
      </w:r>
      <w:proofErr w:type="gramStart"/>
      <w:r>
        <w:t>in excess of</w:t>
      </w:r>
      <w:proofErr w:type="gramEnd"/>
      <w:r>
        <w:t xml:space="preserve"> normal mortality caused by adverse weather or </w:t>
      </w:r>
      <w:r w:rsidR="00AC72FF">
        <w:t xml:space="preserve">attacks by </w:t>
      </w:r>
      <w:r>
        <w:t xml:space="preserve">animals </w:t>
      </w:r>
      <w:r w:rsidR="00AC72FF">
        <w:t xml:space="preserve">that have been </w:t>
      </w:r>
      <w:r>
        <w:t xml:space="preserve">reintroduced into the wild by the federal government.  “Cold” is now considered </w:t>
      </w:r>
      <w:r w:rsidR="00AE657F">
        <w:t>a covered eligible</w:t>
      </w:r>
      <w:r w:rsidR="00AC72FF">
        <w:t xml:space="preserve"> loss for </w:t>
      </w:r>
      <w:proofErr w:type="spellStart"/>
      <w:r w:rsidR="00AC72FF">
        <w:t>unweaned</w:t>
      </w:r>
      <w:proofErr w:type="spellEnd"/>
      <w:r w:rsidR="00AC72FF">
        <w:t xml:space="preserve"> livestock</w:t>
      </w:r>
      <w:r>
        <w:t xml:space="preserve"> without regard to any management practice, vaccination protocol, or lack of vaccination.  </w:t>
      </w:r>
    </w:p>
    <w:p w:rsidR="00A374CC" w:rsidRDefault="00A374CC" w:rsidP="00A374CC">
      <w:pPr>
        <w:pStyle w:val="ListParagraph"/>
        <w:numPr>
          <w:ilvl w:val="1"/>
          <w:numId w:val="17"/>
        </w:numPr>
        <w:spacing w:after="0" w:line="256" w:lineRule="auto"/>
      </w:pPr>
      <w:r>
        <w:t>LIP now covers diseases that are caused or transmitted by a v</w:t>
      </w:r>
      <w:r w:rsidR="00AC72FF">
        <w:t>ector and are</w:t>
      </w:r>
      <w:r>
        <w:t xml:space="preserve"> not controlled by vaccination or</w:t>
      </w:r>
      <w:r w:rsidR="00AC72FF">
        <w:t xml:space="preserve"> an</w:t>
      </w:r>
      <w:r>
        <w:t xml:space="preserve"> a</w:t>
      </w:r>
      <w:r w:rsidR="00BD1BE1">
        <w:t xml:space="preserve">cceptable management practice. </w:t>
      </w:r>
      <w:r>
        <w:t>These diseases were previously covered under ELAP.</w:t>
      </w:r>
    </w:p>
    <w:p w:rsidR="006F7C26" w:rsidRPr="00095BF3" w:rsidRDefault="00A374CC" w:rsidP="006F7C26">
      <w:pPr>
        <w:pStyle w:val="ListParagraph"/>
        <w:numPr>
          <w:ilvl w:val="0"/>
          <w:numId w:val="17"/>
        </w:numPr>
        <w:spacing w:after="0" w:line="256" w:lineRule="auto"/>
        <w:rPr>
          <w:b/>
        </w:rPr>
      </w:pPr>
      <w:r w:rsidRPr="00095BF3">
        <w:rPr>
          <w:b/>
        </w:rPr>
        <w:t>T</w:t>
      </w:r>
      <w:r w:rsidR="00C77EC3" w:rsidRPr="00095BF3">
        <w:rPr>
          <w:b/>
        </w:rPr>
        <w:t>ree Assistance Program (T</w:t>
      </w:r>
      <w:r w:rsidRPr="00095BF3">
        <w:rPr>
          <w:b/>
        </w:rPr>
        <w:t>AP</w:t>
      </w:r>
      <w:r w:rsidR="00C77EC3" w:rsidRPr="00095BF3">
        <w:rPr>
          <w:b/>
        </w:rPr>
        <w:t>)</w:t>
      </w:r>
    </w:p>
    <w:p w:rsidR="006F7C26" w:rsidRDefault="006F7C26" w:rsidP="006F7C26">
      <w:pPr>
        <w:pStyle w:val="ListParagraph"/>
        <w:numPr>
          <w:ilvl w:val="1"/>
          <w:numId w:val="17"/>
        </w:numPr>
        <w:spacing w:after="0" w:line="256" w:lineRule="auto"/>
      </w:pPr>
      <w:r>
        <w:t>TAP provides financial assistance to eligible orchardists and nursery tree growers to replant or rehabilitate eligible trees, bushes, and vines lost by natural disasters</w:t>
      </w:r>
      <w:r w:rsidR="000314CC">
        <w:t>.</w:t>
      </w:r>
    </w:p>
    <w:p w:rsidR="006F7C26" w:rsidRDefault="006F7C26" w:rsidP="006F7C26">
      <w:pPr>
        <w:pStyle w:val="ListParagraph"/>
        <w:numPr>
          <w:ilvl w:val="1"/>
          <w:numId w:val="17"/>
        </w:numPr>
        <w:spacing w:after="0" w:line="256" w:lineRule="auto"/>
      </w:pPr>
      <w:r>
        <w:t>For beginning or veteran farmers or ranchers, the reimbursement costs for TAP increased from 65 percent to 75 percent for replanting lost trees, bushes, and vines; and from 50 percent to 75 percent for the cost of pruning, removal, and other costs incurred for salvaging existing trees, bushes, and vines.</w:t>
      </w:r>
    </w:p>
    <w:p w:rsidR="00F8206E" w:rsidRDefault="00F8206E" w:rsidP="00F8206E">
      <w:pPr>
        <w:spacing w:after="0" w:line="256" w:lineRule="auto"/>
      </w:pPr>
    </w:p>
    <w:p w:rsidR="00555019" w:rsidRPr="00555019" w:rsidRDefault="00555019" w:rsidP="00555019">
      <w:pPr>
        <w:spacing w:after="0" w:line="256" w:lineRule="auto"/>
        <w:rPr>
          <w:b/>
        </w:rPr>
      </w:pPr>
      <w:r w:rsidRPr="00555019">
        <w:rPr>
          <w:b/>
        </w:rPr>
        <w:t>Organic Cost-Share Certification Program (OCCSP)</w:t>
      </w:r>
    </w:p>
    <w:p w:rsidR="00555019" w:rsidRDefault="00555019" w:rsidP="00555019">
      <w:pPr>
        <w:pStyle w:val="ListParagraph"/>
        <w:numPr>
          <w:ilvl w:val="0"/>
          <w:numId w:val="16"/>
        </w:numPr>
        <w:spacing w:after="0" w:line="256" w:lineRule="auto"/>
      </w:pPr>
      <w:r>
        <w:t>OCCSP has funding for each fiscal year through FY 2023, which will remain available until expended.</w:t>
      </w:r>
    </w:p>
    <w:p w:rsidR="006F3F52" w:rsidRDefault="006F3F52" w:rsidP="00F8206E">
      <w:pPr>
        <w:spacing w:after="0" w:line="256" w:lineRule="auto"/>
      </w:pPr>
    </w:p>
    <w:p w:rsidR="006F3F52" w:rsidRDefault="006F3F52" w:rsidP="00F8206E">
      <w:pPr>
        <w:spacing w:after="0" w:line="256" w:lineRule="auto"/>
      </w:pPr>
    </w:p>
    <w:p w:rsidR="00F8206E" w:rsidRPr="00095BF3" w:rsidRDefault="00F8206E" w:rsidP="00F8206E">
      <w:pPr>
        <w:spacing w:after="0" w:line="256" w:lineRule="auto"/>
        <w:rPr>
          <w:b/>
        </w:rPr>
      </w:pPr>
      <w:r w:rsidRPr="00095BF3">
        <w:rPr>
          <w:b/>
        </w:rPr>
        <w:t xml:space="preserve">Farm Loan Program </w:t>
      </w:r>
    </w:p>
    <w:p w:rsidR="00F8206E" w:rsidRPr="00095BF3" w:rsidRDefault="00F8206E" w:rsidP="00F8206E">
      <w:pPr>
        <w:pStyle w:val="ListParagraph"/>
        <w:numPr>
          <w:ilvl w:val="0"/>
          <w:numId w:val="21"/>
        </w:numPr>
        <w:spacing w:after="0" w:line="256" w:lineRule="auto"/>
        <w:rPr>
          <w:b/>
        </w:rPr>
      </w:pPr>
      <w:r w:rsidRPr="00095BF3">
        <w:rPr>
          <w:b/>
        </w:rPr>
        <w:t>D</w:t>
      </w:r>
      <w:r w:rsidR="00BD1BE1" w:rsidRPr="00095BF3">
        <w:rPr>
          <w:b/>
        </w:rPr>
        <w:t>irect Farm Ownership Experience</w:t>
      </w:r>
      <w:r w:rsidRPr="00095BF3">
        <w:rPr>
          <w:b/>
        </w:rPr>
        <w:t xml:space="preserve">  </w:t>
      </w:r>
    </w:p>
    <w:p w:rsidR="00F8206E" w:rsidRDefault="00F8206E" w:rsidP="00F8206E">
      <w:pPr>
        <w:pStyle w:val="ListParagraph"/>
        <w:numPr>
          <w:ilvl w:val="1"/>
          <w:numId w:val="21"/>
        </w:numPr>
        <w:spacing w:after="0" w:line="256" w:lineRule="auto"/>
      </w:pPr>
      <w:r>
        <w:t>The 2018 F</w:t>
      </w:r>
      <w:r w:rsidR="00BD1BE1">
        <w:t>arm Bill modifies the existing three</w:t>
      </w:r>
      <w:r>
        <w:t>-year experience requirement for Direct Farm Ownership loans by including the following as experience:</w:t>
      </w:r>
    </w:p>
    <w:p w:rsidR="00F8206E" w:rsidRDefault="00F8206E" w:rsidP="00F8206E">
      <w:pPr>
        <w:pStyle w:val="ListParagraph"/>
        <w:numPr>
          <w:ilvl w:val="2"/>
          <w:numId w:val="21"/>
        </w:numPr>
        <w:spacing w:after="0" w:line="256" w:lineRule="auto"/>
      </w:pPr>
      <w:r>
        <w:t>16 hours of post-secondary education in an agriculture-related field</w:t>
      </w:r>
    </w:p>
    <w:p w:rsidR="00F8206E" w:rsidRDefault="00F8206E" w:rsidP="00F8206E">
      <w:pPr>
        <w:pStyle w:val="ListParagraph"/>
        <w:numPr>
          <w:ilvl w:val="2"/>
          <w:numId w:val="21"/>
        </w:numPr>
        <w:spacing w:after="0" w:line="256" w:lineRule="auto"/>
      </w:pPr>
      <w:r>
        <w:t xml:space="preserve">Successful completion of a farm management curriculum offered by a cooperative extension service, community college, adult vocational agriculture program, non-profit organization, or land-grant college or university. </w:t>
      </w:r>
    </w:p>
    <w:p w:rsidR="00F8206E" w:rsidRDefault="00F8206E" w:rsidP="00F8206E">
      <w:pPr>
        <w:pStyle w:val="ListParagraph"/>
        <w:numPr>
          <w:ilvl w:val="2"/>
          <w:numId w:val="21"/>
        </w:numPr>
        <w:spacing w:after="0" w:line="256" w:lineRule="auto"/>
      </w:pPr>
      <w:r>
        <w:t>One-year experience as a farm laborer with substantial management responsibility</w:t>
      </w:r>
    </w:p>
    <w:p w:rsidR="00F8206E" w:rsidRDefault="00F8206E" w:rsidP="00F8206E">
      <w:pPr>
        <w:pStyle w:val="ListParagraph"/>
        <w:numPr>
          <w:ilvl w:val="2"/>
          <w:numId w:val="21"/>
        </w:numPr>
        <w:spacing w:after="0" w:line="256" w:lineRule="auto"/>
      </w:pPr>
      <w:r>
        <w:t>Successful completion of an internship, mentorship, or apprenticeship in day-to-day farm management</w:t>
      </w:r>
    </w:p>
    <w:p w:rsidR="00F8206E" w:rsidRDefault="00F8206E" w:rsidP="00F8206E">
      <w:pPr>
        <w:pStyle w:val="ListParagraph"/>
        <w:numPr>
          <w:ilvl w:val="2"/>
          <w:numId w:val="21"/>
        </w:numPr>
        <w:spacing w:after="0" w:line="256" w:lineRule="auto"/>
      </w:pPr>
      <w:r>
        <w:t>Significant business management experience</w:t>
      </w:r>
    </w:p>
    <w:p w:rsidR="00F8206E" w:rsidRDefault="00F8206E" w:rsidP="00F8206E">
      <w:pPr>
        <w:pStyle w:val="ListParagraph"/>
        <w:numPr>
          <w:ilvl w:val="2"/>
          <w:numId w:val="21"/>
        </w:numPr>
        <w:spacing w:after="0" w:line="256" w:lineRule="auto"/>
      </w:pPr>
      <w:r>
        <w:t>Honorable discharge from the armed forces</w:t>
      </w:r>
    </w:p>
    <w:p w:rsidR="00F8206E" w:rsidRDefault="00F8206E" w:rsidP="00F8206E">
      <w:pPr>
        <w:pStyle w:val="ListParagraph"/>
        <w:numPr>
          <w:ilvl w:val="2"/>
          <w:numId w:val="21"/>
        </w:numPr>
        <w:spacing w:after="0" w:line="256" w:lineRule="auto"/>
      </w:pPr>
      <w:r>
        <w:t>Successful repayment of a youth loan</w:t>
      </w:r>
    </w:p>
    <w:p w:rsidR="00F8206E" w:rsidRDefault="00F8206E" w:rsidP="00F8206E">
      <w:pPr>
        <w:pStyle w:val="ListParagraph"/>
        <w:numPr>
          <w:ilvl w:val="2"/>
          <w:numId w:val="21"/>
        </w:numPr>
        <w:spacing w:after="0" w:line="256" w:lineRule="auto"/>
      </w:pPr>
      <w:r>
        <w:t>Established relationship with a counselor in the Service Corps of Retired Executives (SCORE) program who has experience in farming or ranching</w:t>
      </w:r>
    </w:p>
    <w:p w:rsidR="006F3F52" w:rsidRDefault="006F3F52" w:rsidP="006F3F52">
      <w:pPr>
        <w:spacing w:after="0" w:line="256" w:lineRule="auto"/>
      </w:pPr>
    </w:p>
    <w:p w:rsidR="006F3F52" w:rsidRDefault="006F3F52" w:rsidP="006F3F52">
      <w:pPr>
        <w:spacing w:after="0" w:line="256" w:lineRule="auto"/>
      </w:pPr>
    </w:p>
    <w:p w:rsidR="006F3F52" w:rsidRDefault="006F3F52" w:rsidP="006F3F52">
      <w:pPr>
        <w:spacing w:after="0" w:line="256" w:lineRule="auto"/>
      </w:pPr>
    </w:p>
    <w:p w:rsidR="005557F3" w:rsidRPr="00095BF3" w:rsidRDefault="005557F3" w:rsidP="005557F3">
      <w:pPr>
        <w:pStyle w:val="ListParagraph"/>
        <w:numPr>
          <w:ilvl w:val="0"/>
          <w:numId w:val="21"/>
        </w:numPr>
        <w:spacing w:after="0" w:line="256" w:lineRule="auto"/>
        <w:rPr>
          <w:b/>
        </w:rPr>
      </w:pPr>
      <w:r w:rsidRPr="00095BF3">
        <w:rPr>
          <w:b/>
        </w:rPr>
        <w:t>Limit Increases</w:t>
      </w:r>
    </w:p>
    <w:p w:rsidR="00095BF3" w:rsidRDefault="00F8206E" w:rsidP="006F3F52">
      <w:pPr>
        <w:pStyle w:val="ListParagraph"/>
        <w:numPr>
          <w:ilvl w:val="1"/>
          <w:numId w:val="21"/>
        </w:numPr>
        <w:spacing w:after="0" w:line="256" w:lineRule="auto"/>
      </w:pPr>
      <w:r>
        <w:t>Direct Farm Ownership loan limit</w:t>
      </w:r>
      <w:r w:rsidR="005557F3">
        <w:t xml:space="preserve"> increases</w:t>
      </w:r>
      <w:r>
        <w:t xml:space="preserve"> </w:t>
      </w:r>
      <w:r w:rsidR="00533236">
        <w:t>from $</w:t>
      </w:r>
      <w:r w:rsidR="00DB4786">
        <w:t>300,000</w:t>
      </w:r>
      <w:r w:rsidR="00533236">
        <w:t xml:space="preserve"> </w:t>
      </w:r>
      <w:r>
        <w:t>to $600,000 and increases</w:t>
      </w:r>
      <w:r w:rsidR="006F7C26">
        <w:t xml:space="preserve"> the</w:t>
      </w:r>
      <w:r>
        <w:t xml:space="preserve"> Guaranteed Farm Ownership loan limit </w:t>
      </w:r>
      <w:r w:rsidR="00533236">
        <w:t>from $</w:t>
      </w:r>
      <w:r w:rsidR="00DB4786">
        <w:t>1,429,000</w:t>
      </w:r>
      <w:r w:rsidR="00533236">
        <w:t xml:space="preserve"> </w:t>
      </w:r>
      <w:r>
        <w:t>to $1,750,000.  The Guaranteed loan limit continues to be adjusted annually based on inflation.</w:t>
      </w:r>
    </w:p>
    <w:p w:rsidR="00F8206E" w:rsidRDefault="005557F3" w:rsidP="00F8206E">
      <w:pPr>
        <w:pStyle w:val="ListParagraph"/>
        <w:numPr>
          <w:ilvl w:val="1"/>
          <w:numId w:val="21"/>
        </w:numPr>
        <w:spacing w:after="0" w:line="256" w:lineRule="auto"/>
      </w:pPr>
      <w:r>
        <w:t xml:space="preserve">The Direct Operating loan limit increases </w:t>
      </w:r>
      <w:r w:rsidR="00533236">
        <w:t>from $</w:t>
      </w:r>
      <w:r w:rsidR="00DB4786">
        <w:t>300,000</w:t>
      </w:r>
      <w:r w:rsidR="00533236">
        <w:t xml:space="preserve"> </w:t>
      </w:r>
      <w:r w:rsidR="00F8206E">
        <w:t xml:space="preserve">to $400,000 and increases the Guaranteed Operating loan limit </w:t>
      </w:r>
      <w:r w:rsidR="00533236">
        <w:t>from $</w:t>
      </w:r>
      <w:r w:rsidR="00DB4786">
        <w:t>1,429,000</w:t>
      </w:r>
      <w:r w:rsidR="00533236">
        <w:t xml:space="preserve"> </w:t>
      </w:r>
      <w:r w:rsidR="00F8206E">
        <w:t>to $1,750,000.  The Guaranteed loan limit continues to be adjusted annually based on inflation.</w:t>
      </w:r>
    </w:p>
    <w:p w:rsidR="00F8206E" w:rsidRDefault="00F8206E" w:rsidP="00F8206E">
      <w:pPr>
        <w:pStyle w:val="ListParagraph"/>
        <w:numPr>
          <w:ilvl w:val="1"/>
          <w:numId w:val="21"/>
        </w:numPr>
        <w:spacing w:after="0" w:line="256" w:lineRule="auto"/>
      </w:pPr>
      <w:r>
        <w:t>The 2018 Farm Bill increases access to credit under the microloan program. Previously, Microloans were limited to a total of $50,000 for both Farm Owner</w:t>
      </w:r>
      <w:r w:rsidR="00BD1BE1">
        <w:t xml:space="preserve">ship and Operating Microloans. </w:t>
      </w:r>
      <w:r>
        <w:t>The 2018 Farm Bill now app</w:t>
      </w:r>
      <w:r w:rsidR="005557F3">
        <w:t>lies this limit separately.  A</w:t>
      </w:r>
      <w:r>
        <w:t xml:space="preserve"> farmer or rancher may receive both a $50,000 Farm Ownership Microloan and a $50,000 Operating Microloan.</w:t>
      </w:r>
    </w:p>
    <w:p w:rsidR="006F7C26" w:rsidRDefault="006F7C26" w:rsidP="00EC1AA4">
      <w:pPr>
        <w:pStyle w:val="ListParagraph"/>
        <w:numPr>
          <w:ilvl w:val="0"/>
          <w:numId w:val="21"/>
        </w:numPr>
        <w:spacing w:after="0" w:line="256" w:lineRule="auto"/>
      </w:pPr>
      <w:r>
        <w:t>With the passage of the 2018 Farm Bill, equitable relief may be granted on direct farm ownership, operating, or emergency loans to certain farmers or ranchers who failed to comply with the terms of the loan due to an action of, or the advice of, an FSA employee.</w:t>
      </w:r>
    </w:p>
    <w:p w:rsidR="00F8206E" w:rsidRDefault="00EC1AA4" w:rsidP="00EC1AA4">
      <w:pPr>
        <w:pStyle w:val="ListParagraph"/>
        <w:numPr>
          <w:ilvl w:val="0"/>
          <w:numId w:val="21"/>
        </w:numPr>
        <w:spacing w:after="0" w:line="256" w:lineRule="auto"/>
      </w:pPr>
      <w:r>
        <w:t>All socially disadvantaged and beginning farmers will</w:t>
      </w:r>
      <w:r w:rsidR="00F8206E">
        <w:t xml:space="preserve"> receive a guarantee equal to 95 percent, rather than the typical 90 percent guarantee.  </w:t>
      </w:r>
    </w:p>
    <w:p w:rsidR="00F8206E" w:rsidRDefault="00F8206E" w:rsidP="00EC1AA4">
      <w:pPr>
        <w:pStyle w:val="ListParagraph"/>
        <w:numPr>
          <w:ilvl w:val="0"/>
          <w:numId w:val="21"/>
        </w:numPr>
        <w:spacing w:after="0" w:line="256" w:lineRule="auto"/>
      </w:pPr>
      <w:r>
        <w:t xml:space="preserve">The 2018 Farm Bill allows borrowers who have received a debt write down or restructuring of a farm loan </w:t>
      </w:r>
      <w:r w:rsidR="00EC1AA4">
        <w:t>are eligible</w:t>
      </w:r>
      <w:r>
        <w:t xml:space="preserve"> for an Emergency Loan</w:t>
      </w:r>
      <w:r w:rsidR="00EC1AA4">
        <w:t>.</w:t>
      </w:r>
    </w:p>
    <w:p w:rsidR="00236E4D" w:rsidRDefault="00236E4D" w:rsidP="00236E4D">
      <w:pPr>
        <w:pStyle w:val="ListParagraph"/>
        <w:numPr>
          <w:ilvl w:val="0"/>
          <w:numId w:val="21"/>
        </w:numPr>
        <w:spacing w:after="0" w:line="256" w:lineRule="auto"/>
      </w:pPr>
      <w:r>
        <w:t>T</w:t>
      </w:r>
      <w:r w:rsidR="00F8206E">
        <w:t xml:space="preserve">he scope of eligible issues covered under the </w:t>
      </w:r>
      <w:r w:rsidR="006F7C26">
        <w:t>USDA Agricultural</w:t>
      </w:r>
      <w:r w:rsidR="00F8206E">
        <w:t xml:space="preserve"> </w:t>
      </w:r>
      <w:r w:rsidR="006F7C26">
        <w:t>Me</w:t>
      </w:r>
      <w:r w:rsidR="00F8206E">
        <w:t xml:space="preserve">diation </w:t>
      </w:r>
      <w:r w:rsidR="006F7C26">
        <w:t>P</w:t>
      </w:r>
      <w:r w:rsidR="00F8206E">
        <w:t>rogram</w:t>
      </w:r>
      <w:r>
        <w:t xml:space="preserve"> has expanded</w:t>
      </w:r>
      <w:r w:rsidR="00F8206E">
        <w:t xml:space="preserve">.  </w:t>
      </w:r>
    </w:p>
    <w:p w:rsidR="00F8206E" w:rsidRDefault="00F8206E" w:rsidP="00236E4D">
      <w:pPr>
        <w:pStyle w:val="ListParagraph"/>
        <w:numPr>
          <w:ilvl w:val="1"/>
          <w:numId w:val="21"/>
        </w:numPr>
        <w:spacing w:after="0" w:line="256" w:lineRule="auto"/>
      </w:pPr>
      <w:r>
        <w:t>New issues to be covered include:</w:t>
      </w:r>
    </w:p>
    <w:p w:rsidR="00F8206E" w:rsidRDefault="00F8206E" w:rsidP="00F8206E">
      <w:pPr>
        <w:pStyle w:val="ListParagraph"/>
        <w:numPr>
          <w:ilvl w:val="2"/>
          <w:numId w:val="21"/>
        </w:numPr>
        <w:spacing w:after="0" w:line="256" w:lineRule="auto"/>
      </w:pPr>
      <w:r>
        <w:t>The National Organic Program</w:t>
      </w:r>
    </w:p>
    <w:p w:rsidR="00F8206E" w:rsidRDefault="00F8206E" w:rsidP="00F8206E">
      <w:pPr>
        <w:pStyle w:val="ListParagraph"/>
        <w:numPr>
          <w:ilvl w:val="2"/>
          <w:numId w:val="21"/>
        </w:numPr>
        <w:spacing w:after="0" w:line="256" w:lineRule="auto"/>
      </w:pPr>
      <w:r>
        <w:t>Lease issues</w:t>
      </w:r>
    </w:p>
    <w:p w:rsidR="00F8206E" w:rsidRDefault="00F8206E" w:rsidP="00F8206E">
      <w:pPr>
        <w:pStyle w:val="ListParagraph"/>
        <w:numPr>
          <w:ilvl w:val="2"/>
          <w:numId w:val="21"/>
        </w:numPr>
        <w:spacing w:after="0" w:line="256" w:lineRule="auto"/>
      </w:pPr>
      <w:r>
        <w:t>Family farm transition</w:t>
      </w:r>
    </w:p>
    <w:p w:rsidR="00F8206E" w:rsidRDefault="00F8206E" w:rsidP="00F8206E">
      <w:pPr>
        <w:pStyle w:val="ListParagraph"/>
        <w:numPr>
          <w:ilvl w:val="2"/>
          <w:numId w:val="21"/>
        </w:numPr>
        <w:spacing w:after="0" w:line="256" w:lineRule="auto"/>
      </w:pPr>
      <w:r>
        <w:t>Farmer-neighbor disputes</w:t>
      </w:r>
    </w:p>
    <w:p w:rsidR="00F8206E" w:rsidRDefault="00F8206E" w:rsidP="00F8206E">
      <w:pPr>
        <w:pStyle w:val="ListParagraph"/>
        <w:numPr>
          <w:ilvl w:val="1"/>
          <w:numId w:val="21"/>
        </w:numPr>
        <w:spacing w:after="0" w:line="256" w:lineRule="auto"/>
      </w:pPr>
      <w:r>
        <w:t>Additionally, use of mediation grant funds is expanded to include providing credit counseling.</w:t>
      </w:r>
    </w:p>
    <w:p w:rsidR="00F8206E" w:rsidRDefault="0031161D" w:rsidP="00236E4D">
      <w:pPr>
        <w:pStyle w:val="ListParagraph"/>
        <w:numPr>
          <w:ilvl w:val="0"/>
          <w:numId w:val="21"/>
        </w:numPr>
        <w:spacing w:after="0" w:line="256" w:lineRule="auto"/>
      </w:pPr>
      <w:r>
        <w:t>Pending decisions by the Secretary, FSA has</w:t>
      </w:r>
      <w:r w:rsidR="00F8206E">
        <w:t xml:space="preserve"> authority to implement a relending program to resolve ownership and succession on farmland with multiple owners.  </w:t>
      </w:r>
    </w:p>
    <w:sectPr w:rsidR="00F8206E" w:rsidSect="00025352">
      <w:type w:val="continuous"/>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58C" w:rsidRDefault="00E8458C" w:rsidP="005144FF">
      <w:pPr>
        <w:spacing w:after="0" w:line="240" w:lineRule="auto"/>
      </w:pPr>
      <w:r>
        <w:separator/>
      </w:r>
    </w:p>
  </w:endnote>
  <w:endnote w:type="continuationSeparator" w:id="0">
    <w:p w:rsidR="00E8458C" w:rsidRDefault="00E8458C" w:rsidP="0051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352" w:rsidRPr="00025352" w:rsidRDefault="00025352" w:rsidP="00025352">
    <w:pPr>
      <w:pStyle w:val="Header"/>
      <w:jc w:val="right"/>
      <w:rPr>
        <w:b/>
        <w:color w:val="0070C0"/>
      </w:rPr>
    </w:pPr>
    <w:r>
      <w:rPr>
        <w:b/>
        <w:color w:val="0070C0"/>
      </w:rPr>
      <w:t>Feb. 1</w:t>
    </w:r>
    <w:r w:rsidR="003E00C3">
      <w:rPr>
        <w:b/>
        <w:color w:val="0070C0"/>
      </w:rPr>
      <w:t>5</w:t>
    </w:r>
    <w:r>
      <w:rPr>
        <w:b/>
        <w:color w:val="0070C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58C" w:rsidRDefault="00E8458C" w:rsidP="005144FF">
      <w:pPr>
        <w:spacing w:after="0" w:line="240" w:lineRule="auto"/>
      </w:pPr>
      <w:r>
        <w:separator/>
      </w:r>
    </w:p>
  </w:footnote>
  <w:footnote w:type="continuationSeparator" w:id="0">
    <w:p w:rsidR="00E8458C" w:rsidRDefault="00E8458C" w:rsidP="00514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rsidR="00986857" w:rsidRPr="00025352" w:rsidRDefault="005144FF" w:rsidP="00025352">
        <w:pPr>
          <w:pStyle w:val="Head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5144FF" w:rsidRPr="00025352" w:rsidRDefault="00025352" w:rsidP="00025352">
    <w:pPr>
      <w:spacing w:after="0"/>
      <w:jc w:val="center"/>
      <w:rPr>
        <w:b/>
        <w:u w:val="single"/>
      </w:rPr>
    </w:pPr>
    <w:r w:rsidRPr="00025352">
      <w:rPr>
        <w:b/>
        <w:u w:val="single"/>
      </w:rPr>
      <w:t>The 2018 Farm Bill – FSA: What Is New and What Has Changed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217B"/>
    <w:multiLevelType w:val="hybridMultilevel"/>
    <w:tmpl w:val="2BF26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FA53D4"/>
    <w:multiLevelType w:val="hybridMultilevel"/>
    <w:tmpl w:val="A7CCA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75D52"/>
    <w:multiLevelType w:val="hybridMultilevel"/>
    <w:tmpl w:val="C8CCC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33146C"/>
    <w:multiLevelType w:val="hybridMultilevel"/>
    <w:tmpl w:val="3CCA8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63D65"/>
    <w:multiLevelType w:val="hybridMultilevel"/>
    <w:tmpl w:val="3D46F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177C6A"/>
    <w:multiLevelType w:val="hybridMultilevel"/>
    <w:tmpl w:val="9F94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55715"/>
    <w:multiLevelType w:val="hybridMultilevel"/>
    <w:tmpl w:val="F7C0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72183"/>
    <w:multiLevelType w:val="hybridMultilevel"/>
    <w:tmpl w:val="888E4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05006"/>
    <w:multiLevelType w:val="hybridMultilevel"/>
    <w:tmpl w:val="8496F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32CF6"/>
    <w:multiLevelType w:val="hybridMultilevel"/>
    <w:tmpl w:val="4352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F13176"/>
    <w:multiLevelType w:val="hybridMultilevel"/>
    <w:tmpl w:val="8B9EC5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D51016"/>
    <w:multiLevelType w:val="hybridMultilevel"/>
    <w:tmpl w:val="E484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A5E9E"/>
    <w:multiLevelType w:val="hybridMultilevel"/>
    <w:tmpl w:val="273CA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7B29FE"/>
    <w:multiLevelType w:val="hybridMultilevel"/>
    <w:tmpl w:val="56961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8515E"/>
    <w:multiLevelType w:val="hybridMultilevel"/>
    <w:tmpl w:val="8F622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33300C"/>
    <w:multiLevelType w:val="hybridMultilevel"/>
    <w:tmpl w:val="94CC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41D45"/>
    <w:multiLevelType w:val="hybridMultilevel"/>
    <w:tmpl w:val="1F5EB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06B6C"/>
    <w:multiLevelType w:val="hybridMultilevel"/>
    <w:tmpl w:val="CA1A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A6174B"/>
    <w:multiLevelType w:val="hybridMultilevel"/>
    <w:tmpl w:val="AEBC0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120DA"/>
    <w:multiLevelType w:val="hybridMultilevel"/>
    <w:tmpl w:val="005C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76D4B"/>
    <w:multiLevelType w:val="hybridMultilevel"/>
    <w:tmpl w:val="2484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22F53"/>
    <w:multiLevelType w:val="hybridMultilevel"/>
    <w:tmpl w:val="66F8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5B1535"/>
    <w:multiLevelType w:val="hybridMultilevel"/>
    <w:tmpl w:val="E1ECC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0251395"/>
    <w:multiLevelType w:val="hybridMultilevel"/>
    <w:tmpl w:val="66EAA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48D2757"/>
    <w:multiLevelType w:val="hybridMultilevel"/>
    <w:tmpl w:val="8ACE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1"/>
  </w:num>
  <w:num w:numId="4">
    <w:abstractNumId w:val="10"/>
  </w:num>
  <w:num w:numId="5">
    <w:abstractNumId w:val="3"/>
  </w:num>
  <w:num w:numId="6">
    <w:abstractNumId w:val="15"/>
  </w:num>
  <w:num w:numId="7">
    <w:abstractNumId w:val="13"/>
  </w:num>
  <w:num w:numId="8">
    <w:abstractNumId w:val="24"/>
  </w:num>
  <w:num w:numId="9">
    <w:abstractNumId w:val="8"/>
  </w:num>
  <w:num w:numId="10">
    <w:abstractNumId w:val="16"/>
  </w:num>
  <w:num w:numId="11">
    <w:abstractNumId w:val="17"/>
  </w:num>
  <w:num w:numId="12">
    <w:abstractNumId w:val="23"/>
  </w:num>
  <w:num w:numId="13">
    <w:abstractNumId w:val="9"/>
  </w:num>
  <w:num w:numId="14">
    <w:abstractNumId w:val="14"/>
  </w:num>
  <w:num w:numId="15">
    <w:abstractNumId w:val="2"/>
  </w:num>
  <w:num w:numId="16">
    <w:abstractNumId w:val="22"/>
  </w:num>
  <w:num w:numId="17">
    <w:abstractNumId w:val="12"/>
  </w:num>
  <w:num w:numId="18">
    <w:abstractNumId w:val="10"/>
  </w:num>
  <w:num w:numId="19">
    <w:abstractNumId w:val="5"/>
  </w:num>
  <w:num w:numId="20">
    <w:abstractNumId w:val="7"/>
  </w:num>
  <w:num w:numId="21">
    <w:abstractNumId w:val="20"/>
  </w:num>
  <w:num w:numId="22">
    <w:abstractNumId w:val="1"/>
  </w:num>
  <w:num w:numId="23">
    <w:abstractNumId w:val="0"/>
  </w:num>
  <w:num w:numId="24">
    <w:abstractNumId w:val="4"/>
  </w:num>
  <w:num w:numId="25">
    <w:abstractNumId w:val="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AC"/>
    <w:rsid w:val="00021C05"/>
    <w:rsid w:val="00025352"/>
    <w:rsid w:val="00030291"/>
    <w:rsid w:val="000314CC"/>
    <w:rsid w:val="0003787B"/>
    <w:rsid w:val="00054DA0"/>
    <w:rsid w:val="000820E2"/>
    <w:rsid w:val="0009028C"/>
    <w:rsid w:val="00095BF3"/>
    <w:rsid w:val="00095E7B"/>
    <w:rsid w:val="000A6171"/>
    <w:rsid w:val="000D141D"/>
    <w:rsid w:val="000E4456"/>
    <w:rsid w:val="000E6942"/>
    <w:rsid w:val="00115DA1"/>
    <w:rsid w:val="00122179"/>
    <w:rsid w:val="00136689"/>
    <w:rsid w:val="00153101"/>
    <w:rsid w:val="001633F9"/>
    <w:rsid w:val="001676E9"/>
    <w:rsid w:val="001C2F63"/>
    <w:rsid w:val="001C3BB7"/>
    <w:rsid w:val="001F01AE"/>
    <w:rsid w:val="001F0E1C"/>
    <w:rsid w:val="00210CFC"/>
    <w:rsid w:val="00215734"/>
    <w:rsid w:val="00236E4D"/>
    <w:rsid w:val="002377C5"/>
    <w:rsid w:val="0024305C"/>
    <w:rsid w:val="00270FFB"/>
    <w:rsid w:val="00271538"/>
    <w:rsid w:val="0029545E"/>
    <w:rsid w:val="002B1722"/>
    <w:rsid w:val="002C68CF"/>
    <w:rsid w:val="002F17A9"/>
    <w:rsid w:val="0031161D"/>
    <w:rsid w:val="00313B45"/>
    <w:rsid w:val="003338DC"/>
    <w:rsid w:val="00360B6D"/>
    <w:rsid w:val="00361600"/>
    <w:rsid w:val="00375D20"/>
    <w:rsid w:val="00377920"/>
    <w:rsid w:val="003850FE"/>
    <w:rsid w:val="003D59F7"/>
    <w:rsid w:val="003E00C3"/>
    <w:rsid w:val="003F2C1B"/>
    <w:rsid w:val="004018DF"/>
    <w:rsid w:val="004066CA"/>
    <w:rsid w:val="00406FAC"/>
    <w:rsid w:val="00407F30"/>
    <w:rsid w:val="00410142"/>
    <w:rsid w:val="0042359E"/>
    <w:rsid w:val="00424604"/>
    <w:rsid w:val="00465EFB"/>
    <w:rsid w:val="004676BB"/>
    <w:rsid w:val="0049334F"/>
    <w:rsid w:val="004B283D"/>
    <w:rsid w:val="004C4B21"/>
    <w:rsid w:val="004D3775"/>
    <w:rsid w:val="004F6727"/>
    <w:rsid w:val="005144FF"/>
    <w:rsid w:val="00530FC6"/>
    <w:rsid w:val="00533236"/>
    <w:rsid w:val="0053533A"/>
    <w:rsid w:val="00555019"/>
    <w:rsid w:val="005557F3"/>
    <w:rsid w:val="005704A3"/>
    <w:rsid w:val="00597526"/>
    <w:rsid w:val="005A3E80"/>
    <w:rsid w:val="005B5D69"/>
    <w:rsid w:val="005F2539"/>
    <w:rsid w:val="005F76FA"/>
    <w:rsid w:val="00615C4A"/>
    <w:rsid w:val="00630D9E"/>
    <w:rsid w:val="0065738D"/>
    <w:rsid w:val="006F3F52"/>
    <w:rsid w:val="006F7C26"/>
    <w:rsid w:val="006F7C65"/>
    <w:rsid w:val="00715F48"/>
    <w:rsid w:val="00717DCB"/>
    <w:rsid w:val="007236F0"/>
    <w:rsid w:val="0073085A"/>
    <w:rsid w:val="00730CBC"/>
    <w:rsid w:val="007362EE"/>
    <w:rsid w:val="007445DF"/>
    <w:rsid w:val="00764143"/>
    <w:rsid w:val="00782C83"/>
    <w:rsid w:val="00794D0E"/>
    <w:rsid w:val="007B1BFC"/>
    <w:rsid w:val="007B2EA5"/>
    <w:rsid w:val="007C5461"/>
    <w:rsid w:val="007E2BEA"/>
    <w:rsid w:val="007E783E"/>
    <w:rsid w:val="007E7C6E"/>
    <w:rsid w:val="007F1D88"/>
    <w:rsid w:val="007F7132"/>
    <w:rsid w:val="008172A5"/>
    <w:rsid w:val="00824A3F"/>
    <w:rsid w:val="00865273"/>
    <w:rsid w:val="008741E6"/>
    <w:rsid w:val="0088154F"/>
    <w:rsid w:val="008A0F9A"/>
    <w:rsid w:val="008C5710"/>
    <w:rsid w:val="008D32CB"/>
    <w:rsid w:val="00900C6E"/>
    <w:rsid w:val="0091171F"/>
    <w:rsid w:val="00911DED"/>
    <w:rsid w:val="009125CB"/>
    <w:rsid w:val="0092774F"/>
    <w:rsid w:val="00947B0E"/>
    <w:rsid w:val="00956626"/>
    <w:rsid w:val="00963DFF"/>
    <w:rsid w:val="00967386"/>
    <w:rsid w:val="009833A4"/>
    <w:rsid w:val="00986857"/>
    <w:rsid w:val="009A5093"/>
    <w:rsid w:val="009B50F9"/>
    <w:rsid w:val="00A142A1"/>
    <w:rsid w:val="00A374CC"/>
    <w:rsid w:val="00A567BA"/>
    <w:rsid w:val="00A7540C"/>
    <w:rsid w:val="00A92794"/>
    <w:rsid w:val="00AC72FF"/>
    <w:rsid w:val="00AE657F"/>
    <w:rsid w:val="00AF035B"/>
    <w:rsid w:val="00AF271F"/>
    <w:rsid w:val="00AF2E65"/>
    <w:rsid w:val="00B21193"/>
    <w:rsid w:val="00B338D9"/>
    <w:rsid w:val="00B46AF0"/>
    <w:rsid w:val="00B63F29"/>
    <w:rsid w:val="00BC2A91"/>
    <w:rsid w:val="00BC2CE5"/>
    <w:rsid w:val="00BC7313"/>
    <w:rsid w:val="00BD1BE1"/>
    <w:rsid w:val="00BD5AD2"/>
    <w:rsid w:val="00BD789E"/>
    <w:rsid w:val="00BE4D4E"/>
    <w:rsid w:val="00BE6424"/>
    <w:rsid w:val="00C071ED"/>
    <w:rsid w:val="00C16E18"/>
    <w:rsid w:val="00C23757"/>
    <w:rsid w:val="00C30956"/>
    <w:rsid w:val="00C41E42"/>
    <w:rsid w:val="00C42FF7"/>
    <w:rsid w:val="00C6077F"/>
    <w:rsid w:val="00C71337"/>
    <w:rsid w:val="00C75759"/>
    <w:rsid w:val="00C77EC3"/>
    <w:rsid w:val="00CA2C72"/>
    <w:rsid w:val="00CD309E"/>
    <w:rsid w:val="00CF6B02"/>
    <w:rsid w:val="00D00EFA"/>
    <w:rsid w:val="00D341F7"/>
    <w:rsid w:val="00D47290"/>
    <w:rsid w:val="00D64CAF"/>
    <w:rsid w:val="00DB1985"/>
    <w:rsid w:val="00DB4786"/>
    <w:rsid w:val="00DC470D"/>
    <w:rsid w:val="00DE19D8"/>
    <w:rsid w:val="00E042BF"/>
    <w:rsid w:val="00E50607"/>
    <w:rsid w:val="00E537C4"/>
    <w:rsid w:val="00E6044C"/>
    <w:rsid w:val="00E83D26"/>
    <w:rsid w:val="00E8458C"/>
    <w:rsid w:val="00EA2D48"/>
    <w:rsid w:val="00EB5201"/>
    <w:rsid w:val="00EC1AA4"/>
    <w:rsid w:val="00EE5850"/>
    <w:rsid w:val="00F04138"/>
    <w:rsid w:val="00F3033A"/>
    <w:rsid w:val="00F3344E"/>
    <w:rsid w:val="00F34A87"/>
    <w:rsid w:val="00F8206E"/>
    <w:rsid w:val="00F850D0"/>
    <w:rsid w:val="00F919FA"/>
    <w:rsid w:val="00F948AE"/>
    <w:rsid w:val="00F9716F"/>
    <w:rsid w:val="00FE557F"/>
    <w:rsid w:val="00FF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6EA85-D5E0-4FB0-A57A-47907A5A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A91"/>
    <w:pPr>
      <w:ind w:left="720"/>
      <w:contextualSpacing/>
    </w:pPr>
  </w:style>
  <w:style w:type="character" w:styleId="CommentReference">
    <w:name w:val="annotation reference"/>
    <w:basedOn w:val="DefaultParagraphFont"/>
    <w:uiPriority w:val="99"/>
    <w:semiHidden/>
    <w:unhideWhenUsed/>
    <w:rsid w:val="004F6727"/>
    <w:rPr>
      <w:sz w:val="16"/>
      <w:szCs w:val="16"/>
    </w:rPr>
  </w:style>
  <w:style w:type="paragraph" w:styleId="CommentText">
    <w:name w:val="annotation text"/>
    <w:basedOn w:val="Normal"/>
    <w:link w:val="CommentTextChar"/>
    <w:uiPriority w:val="99"/>
    <w:semiHidden/>
    <w:unhideWhenUsed/>
    <w:rsid w:val="004F6727"/>
    <w:pPr>
      <w:spacing w:line="240" w:lineRule="auto"/>
    </w:pPr>
    <w:rPr>
      <w:sz w:val="20"/>
      <w:szCs w:val="20"/>
    </w:rPr>
  </w:style>
  <w:style w:type="character" w:customStyle="1" w:styleId="CommentTextChar">
    <w:name w:val="Comment Text Char"/>
    <w:basedOn w:val="DefaultParagraphFont"/>
    <w:link w:val="CommentText"/>
    <w:uiPriority w:val="99"/>
    <w:semiHidden/>
    <w:rsid w:val="004F6727"/>
    <w:rPr>
      <w:sz w:val="20"/>
      <w:szCs w:val="20"/>
    </w:rPr>
  </w:style>
  <w:style w:type="paragraph" w:styleId="CommentSubject">
    <w:name w:val="annotation subject"/>
    <w:basedOn w:val="CommentText"/>
    <w:next w:val="CommentText"/>
    <w:link w:val="CommentSubjectChar"/>
    <w:uiPriority w:val="99"/>
    <w:semiHidden/>
    <w:unhideWhenUsed/>
    <w:rsid w:val="004F6727"/>
    <w:rPr>
      <w:b/>
      <w:bCs/>
    </w:rPr>
  </w:style>
  <w:style w:type="character" w:customStyle="1" w:styleId="CommentSubjectChar">
    <w:name w:val="Comment Subject Char"/>
    <w:basedOn w:val="CommentTextChar"/>
    <w:link w:val="CommentSubject"/>
    <w:uiPriority w:val="99"/>
    <w:semiHidden/>
    <w:rsid w:val="004F6727"/>
    <w:rPr>
      <w:b/>
      <w:bCs/>
      <w:sz w:val="20"/>
      <w:szCs w:val="20"/>
    </w:rPr>
  </w:style>
  <w:style w:type="paragraph" w:styleId="BalloonText">
    <w:name w:val="Balloon Text"/>
    <w:basedOn w:val="Normal"/>
    <w:link w:val="BalloonTextChar"/>
    <w:uiPriority w:val="99"/>
    <w:semiHidden/>
    <w:unhideWhenUsed/>
    <w:rsid w:val="004F6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727"/>
    <w:rPr>
      <w:rFonts w:ascii="Segoe UI" w:hAnsi="Segoe UI" w:cs="Segoe UI"/>
      <w:sz w:val="18"/>
      <w:szCs w:val="18"/>
    </w:rPr>
  </w:style>
  <w:style w:type="table" w:styleId="TableGrid">
    <w:name w:val="Table Grid"/>
    <w:basedOn w:val="TableNormal"/>
    <w:uiPriority w:val="39"/>
    <w:rsid w:val="003D5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1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61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4FF"/>
  </w:style>
  <w:style w:type="paragraph" w:styleId="Footer">
    <w:name w:val="footer"/>
    <w:basedOn w:val="Normal"/>
    <w:link w:val="FooterChar"/>
    <w:uiPriority w:val="99"/>
    <w:unhideWhenUsed/>
    <w:rsid w:val="00514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4FF"/>
  </w:style>
  <w:style w:type="paragraph" w:styleId="Revision">
    <w:name w:val="Revision"/>
    <w:hidden/>
    <w:uiPriority w:val="99"/>
    <w:semiHidden/>
    <w:rsid w:val="00F948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88046">
      <w:bodyDiv w:val="1"/>
      <w:marLeft w:val="0"/>
      <w:marRight w:val="0"/>
      <w:marTop w:val="0"/>
      <w:marBottom w:val="0"/>
      <w:divBdr>
        <w:top w:val="none" w:sz="0" w:space="0" w:color="auto"/>
        <w:left w:val="none" w:sz="0" w:space="0" w:color="auto"/>
        <w:bottom w:val="none" w:sz="0" w:space="0" w:color="auto"/>
        <w:right w:val="none" w:sz="0" w:space="0" w:color="auto"/>
      </w:divBdr>
    </w:div>
    <w:div w:id="1249117246">
      <w:bodyDiv w:val="1"/>
      <w:marLeft w:val="0"/>
      <w:marRight w:val="0"/>
      <w:marTop w:val="0"/>
      <w:marBottom w:val="0"/>
      <w:divBdr>
        <w:top w:val="none" w:sz="0" w:space="0" w:color="auto"/>
        <w:left w:val="none" w:sz="0" w:space="0" w:color="auto"/>
        <w:bottom w:val="none" w:sz="0" w:space="0" w:color="auto"/>
        <w:right w:val="none" w:sz="0" w:space="0" w:color="auto"/>
      </w:divBdr>
    </w:div>
    <w:div w:id="1368143228">
      <w:bodyDiv w:val="1"/>
      <w:marLeft w:val="0"/>
      <w:marRight w:val="0"/>
      <w:marTop w:val="0"/>
      <w:marBottom w:val="0"/>
      <w:divBdr>
        <w:top w:val="none" w:sz="0" w:space="0" w:color="auto"/>
        <w:left w:val="none" w:sz="0" w:space="0" w:color="auto"/>
        <w:bottom w:val="none" w:sz="0" w:space="0" w:color="auto"/>
        <w:right w:val="none" w:sz="0" w:space="0" w:color="auto"/>
      </w:divBdr>
    </w:div>
    <w:div w:id="212063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E0724-32FD-43C0-A2B7-D56D21A1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3729</Words>
  <Characters>21256</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Kenworthy, Jody - FSA, Annapolis, MD</dc:creator>
  <cp:keywords/>
  <dc:description/>
  <cp:lastModifiedBy>Sayers, Kathy - FSA, Washington, DC</cp:lastModifiedBy>
  <cp:revision>2</cp:revision>
  <cp:lastPrinted>2019-02-14T12:39:00Z</cp:lastPrinted>
  <dcterms:created xsi:type="dcterms:W3CDTF">2019-02-19T12:51:00Z</dcterms:created>
  <dcterms:modified xsi:type="dcterms:W3CDTF">2019-02-19T12:51:00Z</dcterms:modified>
</cp:coreProperties>
</file>